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3BD43E4A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3256FA">
        <w:rPr>
          <w:rFonts w:ascii="Arial" w:hAnsi="Arial" w:cs="Arial"/>
          <w:b/>
          <w:sz w:val="21"/>
          <w:szCs w:val="21"/>
        </w:rPr>
        <w:t>5415</w:t>
      </w:r>
      <w:r w:rsidR="004354A7">
        <w:rPr>
          <w:rFonts w:ascii="Arial" w:hAnsi="Arial" w:cs="Arial"/>
          <w:b/>
          <w:sz w:val="21"/>
          <w:szCs w:val="21"/>
        </w:rPr>
        <w:t>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AB94D2D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2024, poz. 507 ze zm.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4169D7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3256FA">
      <w:rPr>
        <w:rFonts w:ascii="Arial" w:hAnsi="Arial" w:cs="Arial"/>
        <w:i/>
        <w:sz w:val="20"/>
      </w:rPr>
      <w:t>5415</w:t>
    </w:r>
    <w:r w:rsidR="004354A7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B426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34</cp:revision>
  <cp:lastPrinted>2023-11-02T10:36:00Z</cp:lastPrinted>
  <dcterms:created xsi:type="dcterms:W3CDTF">2022-05-06T13:11:00Z</dcterms:created>
  <dcterms:modified xsi:type="dcterms:W3CDTF">2025-07-10T07:30:00Z</dcterms:modified>
</cp:coreProperties>
</file>