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310" w:rsidRDefault="008B5ECB">
      <w:pPr>
        <w:pStyle w:val="Standard"/>
        <w:numPr>
          <w:ilvl w:val="0"/>
          <w:numId w:val="6"/>
        </w:numPr>
        <w:jc w:val="center"/>
        <w:rPr>
          <w:rFonts w:ascii="Arial" w:hAnsi="Arial" w:cs="Arial"/>
          <w:b/>
          <w:bCs/>
          <w:color w:val="000000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>Parametry  techniczno - użytkowych</w:t>
      </w:r>
    </w:p>
    <w:p w:rsidR="00F12310" w:rsidRDefault="008B5ECB">
      <w:pPr>
        <w:pStyle w:val="Standard"/>
        <w:numPr>
          <w:ilvl w:val="0"/>
          <w:numId w:val="5"/>
        </w:numPr>
        <w:spacing w:before="0" w:after="0" w:line="240" w:lineRule="auto"/>
        <w:ind w:left="709"/>
        <w:jc w:val="center"/>
      </w:pPr>
      <w:r>
        <w:rPr>
          <w:rFonts w:ascii="Times New Roman" w:hAnsi="Times New Roman" w:cs="Calibri"/>
          <w:b/>
          <w:kern w:val="3"/>
          <w:lang w:eastAsia="pl-PL"/>
        </w:rPr>
        <w:t>OPIS PRZEDMIOTU ZAMÓWIENIA</w:t>
      </w:r>
    </w:p>
    <w:p w:rsidR="00F12310" w:rsidRDefault="008B5ECB">
      <w:pPr>
        <w:pStyle w:val="Standard"/>
        <w:numPr>
          <w:ilvl w:val="0"/>
          <w:numId w:val="5"/>
        </w:numPr>
        <w:spacing w:before="0" w:after="0" w:line="240" w:lineRule="auto"/>
        <w:ind w:left="709" w:hanging="709"/>
        <w:jc w:val="center"/>
      </w:pPr>
      <w:r>
        <w:rPr>
          <w:rFonts w:ascii="Times New Roman" w:hAnsi="Times New Roman" w:cs="Calibri"/>
          <w:b/>
          <w:kern w:val="3"/>
          <w:lang w:eastAsia="pl-PL"/>
        </w:rPr>
        <w:t>(MINIMALNE WYMAGANIA PRZEDMIOTU ZAMÓWIENIA)</w:t>
      </w:r>
    </w:p>
    <w:p w:rsidR="00F12310" w:rsidRDefault="00F12310">
      <w:pPr>
        <w:pStyle w:val="Standard"/>
        <w:numPr>
          <w:ilvl w:val="0"/>
          <w:numId w:val="5"/>
        </w:numPr>
        <w:spacing w:before="0" w:after="0" w:line="240" w:lineRule="auto"/>
        <w:ind w:left="709" w:hanging="709"/>
        <w:jc w:val="center"/>
      </w:pPr>
    </w:p>
    <w:p w:rsidR="00F12310" w:rsidRDefault="008B5ECB">
      <w:pPr>
        <w:pStyle w:val="Standard"/>
        <w:numPr>
          <w:ilvl w:val="0"/>
          <w:numId w:val="5"/>
        </w:numPr>
        <w:jc w:val="both"/>
      </w:pPr>
      <w:r>
        <w:rPr>
          <w:rFonts w:ascii="Times New Roman" w:hAnsi="Times New Roman" w:cs="Calibri"/>
          <w:color w:val="000000"/>
          <w:kern w:val="3"/>
          <w:lang w:eastAsia="pl-PL"/>
        </w:rPr>
        <w:t>Zamawiający wymaga by oferowany ambulans był nowy, z roku produkcji min. 2025</w:t>
      </w:r>
    </w:p>
    <w:p w:rsidR="00F12310" w:rsidRDefault="008B5ECB">
      <w:pPr>
        <w:pStyle w:val="Standard"/>
        <w:numPr>
          <w:ilvl w:val="0"/>
          <w:numId w:val="5"/>
        </w:numPr>
        <w:jc w:val="both"/>
      </w:pPr>
      <w:r>
        <w:rPr>
          <w:rFonts w:ascii="Times New Roman" w:hAnsi="Times New Roman" w:cs="Calibri"/>
          <w:color w:val="000000"/>
          <w:kern w:val="3"/>
          <w:lang w:eastAsia="pl-PL"/>
        </w:rPr>
        <w:t>Oferowane ambulanse muszą spełniać:</w:t>
      </w:r>
    </w:p>
    <w:p w:rsidR="00F12310" w:rsidRDefault="008B5ECB">
      <w:pPr>
        <w:pStyle w:val="Standard"/>
        <w:numPr>
          <w:ilvl w:val="0"/>
          <w:numId w:val="5"/>
        </w:numPr>
        <w:ind w:left="720"/>
        <w:jc w:val="both"/>
      </w:pPr>
      <w:r>
        <w:rPr>
          <w:rFonts w:ascii="Times New Roman" w:hAnsi="Times New Roman" w:cs="Calibri"/>
          <w:color w:val="000000"/>
          <w:kern w:val="3"/>
          <w:lang w:eastAsia="pl-PL"/>
        </w:rPr>
        <w:t>a) wymagania zapisane w tabeli nr 1 (poniżej),</w:t>
      </w:r>
    </w:p>
    <w:p w:rsidR="00F12310" w:rsidRDefault="008B5ECB">
      <w:pPr>
        <w:pStyle w:val="Standard"/>
        <w:numPr>
          <w:ilvl w:val="0"/>
          <w:numId w:val="5"/>
        </w:numPr>
        <w:ind w:left="720"/>
        <w:jc w:val="both"/>
      </w:pPr>
      <w:r>
        <w:rPr>
          <w:rFonts w:ascii="Times New Roman" w:hAnsi="Times New Roman" w:cs="Calibri"/>
          <w:color w:val="000000"/>
          <w:kern w:val="3"/>
          <w:lang w:eastAsia="pl-PL"/>
        </w:rPr>
        <w:t>b) wymagania określone w zharmonizowanej polskiej normie PN-EN 1789 lub równoważnej (typ ambulansu C) w zakresie odpowiednim do przedmiotu (zakresu) prowadzonego postępowan</w:t>
      </w:r>
      <w:r>
        <w:rPr>
          <w:rFonts w:ascii="Times New Roman" w:hAnsi="Times New Roman" w:cs="Calibri"/>
          <w:color w:val="000000"/>
          <w:kern w:val="3"/>
          <w:lang w:eastAsia="pl-PL"/>
        </w:rPr>
        <w:t>ia,</w:t>
      </w:r>
    </w:p>
    <w:p w:rsidR="00F12310" w:rsidRDefault="008B5ECB">
      <w:pPr>
        <w:pStyle w:val="Standard"/>
        <w:numPr>
          <w:ilvl w:val="0"/>
          <w:numId w:val="5"/>
        </w:numPr>
        <w:ind w:left="720"/>
        <w:jc w:val="both"/>
      </w:pPr>
      <w:r>
        <w:rPr>
          <w:rFonts w:ascii="Times New Roman" w:hAnsi="Times New Roman" w:cs="Calibri"/>
          <w:color w:val="000000"/>
          <w:kern w:val="3"/>
          <w:lang w:eastAsia="pl-PL"/>
        </w:rPr>
        <w:t xml:space="preserve">c) </w:t>
      </w:r>
      <w:r>
        <w:rPr>
          <w:rFonts w:ascii="Times New Roman" w:hAnsi="Times New Roman" w:cs="Arial"/>
          <w:color w:val="000000"/>
        </w:rPr>
        <w:t>wymagania określone w rozporządzeniu Ministra Infrastruktury z dnia 31 grudnia 2002 r. w sprawie warunków technicznych pojazdów oraz zakresu ich niezbędnego wyposażenia,</w:t>
      </w:r>
    </w:p>
    <w:p w:rsidR="00F12310" w:rsidRDefault="008B5ECB">
      <w:pPr>
        <w:pStyle w:val="Standard"/>
        <w:numPr>
          <w:ilvl w:val="0"/>
          <w:numId w:val="5"/>
        </w:numPr>
        <w:ind w:left="720"/>
        <w:jc w:val="both"/>
      </w:pPr>
      <w:r>
        <w:rPr>
          <w:rFonts w:ascii="Times New Roman" w:hAnsi="Times New Roman" w:cs="Arial"/>
          <w:bCs/>
          <w:color w:val="000000"/>
          <w:lang w:eastAsia="pl-PL"/>
        </w:rPr>
        <w:t>d) wymagania określone w Rozporządzeniu Ministra Zdrowia z dnia 03.01.2023 r. w</w:t>
      </w:r>
      <w:r>
        <w:rPr>
          <w:rFonts w:ascii="Times New Roman" w:hAnsi="Times New Roman" w:cs="Arial"/>
          <w:bCs/>
          <w:color w:val="000000"/>
          <w:lang w:eastAsia="pl-PL"/>
        </w:rPr>
        <w:t xml:space="preserve"> sprawie oznaczenia systemu Państwowe Ratownictwo Medyczne oraz wymagań w zakresie umundurowania członków zespołów ratownictwa medycznego,</w:t>
      </w:r>
    </w:p>
    <w:p w:rsidR="00F12310" w:rsidRDefault="008B5ECB">
      <w:pPr>
        <w:pStyle w:val="Standard"/>
        <w:numPr>
          <w:ilvl w:val="0"/>
          <w:numId w:val="5"/>
        </w:numPr>
        <w:ind w:left="720"/>
        <w:jc w:val="both"/>
      </w:pPr>
      <w:r>
        <w:rPr>
          <w:rFonts w:ascii="Times New Roman" w:hAnsi="Times New Roman" w:cs="Arial"/>
          <w:bCs/>
          <w:color w:val="000000"/>
          <w:lang w:eastAsia="pl-PL"/>
        </w:rPr>
        <w:t>e) inne wymogi określone przez Zamawiającego</w:t>
      </w:r>
      <w:r>
        <w:rPr>
          <w:rFonts w:ascii="Times New Roman" w:hAnsi="Times New Roman" w:cs="Arial"/>
          <w:color w:val="000000"/>
        </w:rPr>
        <w:t>.</w:t>
      </w:r>
    </w:p>
    <w:p w:rsidR="00F12310" w:rsidRDefault="008B5ECB">
      <w:pPr>
        <w:pStyle w:val="Standard"/>
        <w:numPr>
          <w:ilvl w:val="0"/>
          <w:numId w:val="5"/>
        </w:numPr>
        <w:jc w:val="both"/>
      </w:pPr>
      <w:r>
        <w:rPr>
          <w:rFonts w:ascii="Times New Roman" w:hAnsi="Times New Roman"/>
          <w:color w:val="000000"/>
        </w:rPr>
        <w:t>Ambulanse muszą posiadać świadectwo homologacji pojazdu skompletowanego</w:t>
      </w:r>
      <w:r>
        <w:rPr>
          <w:rFonts w:ascii="Times New Roman" w:hAnsi="Times New Roman"/>
          <w:color w:val="000000"/>
        </w:rPr>
        <w:t xml:space="preserve"> (samochód bazowy wraz z zabudową medyczną) wydane zgodnie z Rozporządzeniem Ministra Transportu, Budownictwa i Gospodarki Morskiej z dnia 25 marca 2013 r. w sprawie homologacji typu pojazdów samochodowych i przyczep oraz ich przedmiotów wyposażenia lub cz</w:t>
      </w:r>
      <w:r>
        <w:rPr>
          <w:rFonts w:ascii="Times New Roman" w:hAnsi="Times New Roman"/>
          <w:color w:val="000000"/>
        </w:rPr>
        <w:t>ęści. Homologacja oferowanych ambulansów musi umożliwiać rejestrację w Polsce.</w:t>
      </w:r>
    </w:p>
    <w:p w:rsidR="00F12310" w:rsidRDefault="008B5ECB">
      <w:pPr>
        <w:pStyle w:val="Standard"/>
        <w:numPr>
          <w:ilvl w:val="0"/>
          <w:numId w:val="5"/>
        </w:numPr>
        <w:jc w:val="both"/>
      </w:pPr>
      <w:r>
        <w:rPr>
          <w:rFonts w:ascii="Times New Roman" w:hAnsi="Times New Roman"/>
          <w:color w:val="000000"/>
        </w:rPr>
        <w:t>D</w:t>
      </w:r>
      <w:r>
        <w:rPr>
          <w:rFonts w:ascii="Times New Roman" w:hAnsi="Times New Roman"/>
          <w:iCs/>
          <w:color w:val="000000"/>
        </w:rPr>
        <w:t>ostarczone wraz z ambulansem wyposażenie i sprzęt medyczny musi posiadać dokumenty potwierdzające do obrotu i używania w Polsce oraz być zgodne i spełniać wymagania określone p</w:t>
      </w:r>
      <w:r>
        <w:rPr>
          <w:rFonts w:ascii="Times New Roman" w:hAnsi="Times New Roman"/>
          <w:iCs/>
          <w:color w:val="000000"/>
        </w:rPr>
        <w:t>rzepisami ustawy z dnia 7 kwietnia 2022 r. o wyrobach medycznych.</w:t>
      </w:r>
    </w:p>
    <w:p w:rsidR="00F12310" w:rsidRDefault="008B5ECB">
      <w:pPr>
        <w:pStyle w:val="Standard"/>
        <w:numPr>
          <w:ilvl w:val="0"/>
          <w:numId w:val="5"/>
        </w:numPr>
        <w:jc w:val="both"/>
      </w:pPr>
      <w:r>
        <w:rPr>
          <w:rFonts w:ascii="Times New Roman" w:hAnsi="Times New Roman"/>
          <w:color w:val="000000"/>
        </w:rPr>
        <w:t xml:space="preserve">Oferowane ambulanse muszą posiadać fabrycznie nowe wyposażenie, wolne od wad, objęte gwarancją producenta pojazdu, spełniające wymagania ustawy z dnia 20 czerwca 1997 r. prawo o ruchu </w:t>
      </w:r>
      <w:r>
        <w:rPr>
          <w:rFonts w:ascii="Times New Roman" w:hAnsi="Times New Roman"/>
          <w:color w:val="000000"/>
        </w:rPr>
        <w:t>drogowym.</w:t>
      </w:r>
    </w:p>
    <w:p w:rsidR="00F12310" w:rsidRDefault="008B5ECB">
      <w:pPr>
        <w:pStyle w:val="Standard"/>
        <w:numPr>
          <w:ilvl w:val="0"/>
          <w:numId w:val="5"/>
        </w:numPr>
        <w:jc w:val="both"/>
      </w:pPr>
      <w:r>
        <w:rPr>
          <w:rFonts w:ascii="Times New Roman" w:hAnsi="Times New Roman" w:cs="Calibri"/>
          <w:color w:val="000000"/>
          <w:kern w:val="3"/>
          <w:lang w:eastAsia="pl-PL"/>
        </w:rPr>
        <w:t>Wykonawca musi zapewnić w okresie min. 5 lat od daty przekazania ambulansów Zamawiającemu dostępność wszystkich elementów sprzętowych zabudowy specjalistycznej, takich samych jak zamontowane pierwotnie lub innych równoważnych; całkowicie kompatyb</w:t>
      </w:r>
      <w:r>
        <w:rPr>
          <w:rFonts w:ascii="Times New Roman" w:hAnsi="Times New Roman" w:cs="Calibri"/>
          <w:color w:val="000000"/>
          <w:kern w:val="3"/>
          <w:lang w:eastAsia="pl-PL"/>
        </w:rPr>
        <w:t>ilnych zarówno pod względem mechanicznym, jak również elektrycznym i elektronicznym, aby możliwa była naprawa lub wymiana zepsutego lub uszkodzonego osprzętu, bez potrzeby jakichkolwiek przeróbek lub modernizacji w pojeździe.</w:t>
      </w:r>
    </w:p>
    <w:p w:rsidR="00F12310" w:rsidRDefault="008B5ECB">
      <w:pPr>
        <w:pStyle w:val="Standard"/>
        <w:numPr>
          <w:ilvl w:val="0"/>
          <w:numId w:val="5"/>
        </w:numPr>
        <w:jc w:val="both"/>
      </w:pPr>
      <w:r>
        <w:rPr>
          <w:rFonts w:ascii="Times New Roman" w:hAnsi="Times New Roman" w:cs="Calibri"/>
          <w:color w:val="000000"/>
          <w:kern w:val="3"/>
          <w:lang w:eastAsia="pl-PL"/>
        </w:rPr>
        <w:t>Ambulanse muszą posiadać certy</w:t>
      </w:r>
      <w:r>
        <w:rPr>
          <w:rFonts w:ascii="Times New Roman" w:hAnsi="Times New Roman" w:cs="Calibri"/>
          <w:color w:val="000000"/>
          <w:kern w:val="3"/>
          <w:lang w:eastAsia="pl-PL"/>
        </w:rPr>
        <w:t>fikat/raport potwierdzający pozytywnie przeprowadzone badania wytrzymałościowe (kompleksowe testy zderzeniowe całego ambulansu) wykonane przez jednostkę notyfikowaną zgodnie z normą PN-EN 1789 lub równoważną.</w:t>
      </w:r>
    </w:p>
    <w:p w:rsidR="00F12310" w:rsidRDefault="00F12310">
      <w:pPr>
        <w:pStyle w:val="Standard"/>
        <w:numPr>
          <w:ilvl w:val="0"/>
          <w:numId w:val="5"/>
        </w:numPr>
        <w:spacing w:line="100" w:lineRule="atLeast"/>
        <w:rPr>
          <w:rFonts w:ascii="Times New Roman" w:hAnsi="Times New Roman"/>
          <w:b/>
          <w:lang w:bidi="hi-IN"/>
        </w:rPr>
      </w:pPr>
    </w:p>
    <w:p w:rsidR="00F12310" w:rsidRDefault="008B5ECB">
      <w:pPr>
        <w:pStyle w:val="Standard"/>
        <w:numPr>
          <w:ilvl w:val="0"/>
          <w:numId w:val="5"/>
        </w:numPr>
        <w:spacing w:line="100" w:lineRule="atLeast"/>
        <w:rPr>
          <w:rFonts w:ascii="Times New Roman" w:hAnsi="Times New Roman"/>
          <w:b/>
          <w:lang w:bidi="hi-IN"/>
        </w:rPr>
      </w:pPr>
      <w:r>
        <w:rPr>
          <w:rFonts w:ascii="Times New Roman" w:hAnsi="Times New Roman"/>
          <w:b/>
          <w:lang w:bidi="hi-IN"/>
        </w:rPr>
        <w:t xml:space="preserve">Nazwa Wykonawcy: </w:t>
      </w:r>
    </w:p>
    <w:p w:rsidR="00F12310" w:rsidRDefault="008B5ECB">
      <w:pPr>
        <w:pStyle w:val="Standard"/>
        <w:numPr>
          <w:ilvl w:val="0"/>
          <w:numId w:val="5"/>
        </w:numPr>
        <w:spacing w:line="100" w:lineRule="atLeast"/>
        <w:rPr>
          <w:rFonts w:ascii="Times New Roman" w:hAnsi="Times New Roman"/>
          <w:lang w:bidi="hi-IN"/>
        </w:rPr>
      </w:pPr>
      <w:r>
        <w:rPr>
          <w:rFonts w:ascii="Times New Roman" w:hAnsi="Times New Roman"/>
          <w:lang w:bidi="hi-IN"/>
        </w:rPr>
        <w:t>____________________________</w:t>
      </w:r>
      <w:r>
        <w:rPr>
          <w:rFonts w:ascii="Times New Roman" w:hAnsi="Times New Roman"/>
          <w:lang w:bidi="hi-IN"/>
        </w:rPr>
        <w:t>____________________________</w:t>
      </w:r>
    </w:p>
    <w:p w:rsidR="00F12310" w:rsidRDefault="008B5ECB">
      <w:pPr>
        <w:pStyle w:val="Standard"/>
        <w:numPr>
          <w:ilvl w:val="0"/>
          <w:numId w:val="5"/>
        </w:numPr>
        <w:spacing w:line="100" w:lineRule="atLeast"/>
        <w:rPr>
          <w:rFonts w:ascii="Times New Roman" w:hAnsi="Times New Roman"/>
          <w:lang w:bidi="hi-IN"/>
        </w:rPr>
      </w:pPr>
      <w:r>
        <w:rPr>
          <w:rFonts w:ascii="Times New Roman" w:hAnsi="Times New Roman"/>
          <w:lang w:bidi="hi-IN"/>
        </w:rPr>
        <w:t>Adres: ___________________________________________________________________</w:t>
      </w:r>
    </w:p>
    <w:p w:rsidR="00F12310" w:rsidRDefault="008B5ECB">
      <w:pPr>
        <w:pStyle w:val="Standard"/>
        <w:numPr>
          <w:ilvl w:val="0"/>
          <w:numId w:val="5"/>
        </w:numPr>
        <w:spacing w:line="100" w:lineRule="atLeast"/>
        <w:rPr>
          <w:rFonts w:ascii="Times New Roman" w:hAnsi="Times New Roman"/>
          <w:lang w:bidi="hi-IN"/>
        </w:rPr>
      </w:pPr>
      <w:r>
        <w:rPr>
          <w:rFonts w:ascii="Times New Roman" w:hAnsi="Times New Roman"/>
          <w:lang w:bidi="hi-IN"/>
        </w:rPr>
        <w:t>Marka, model, typ, nazwa  pojazdu skompletowanego (wynikająca ze świadectwa homologacji); _____________________________________________________________</w:t>
      </w:r>
    </w:p>
    <w:p w:rsidR="00F12310" w:rsidRDefault="008B5ECB">
      <w:pPr>
        <w:pStyle w:val="Standard"/>
        <w:numPr>
          <w:ilvl w:val="0"/>
          <w:numId w:val="5"/>
        </w:numPr>
        <w:spacing w:line="100" w:lineRule="atLeast"/>
        <w:rPr>
          <w:rFonts w:ascii="Times New Roman" w:hAnsi="Times New Roman"/>
          <w:lang w:bidi="hi-IN"/>
        </w:rPr>
      </w:pPr>
      <w:r>
        <w:rPr>
          <w:rFonts w:ascii="Times New Roman" w:hAnsi="Times New Roman"/>
          <w:lang w:bidi="hi-IN"/>
        </w:rPr>
        <w:t>Data wydania i numer świadectwa homologacji: __________________________________</w:t>
      </w:r>
    </w:p>
    <w:p w:rsidR="00F12310" w:rsidRDefault="008B5ECB">
      <w:pPr>
        <w:pStyle w:val="Standard"/>
        <w:numPr>
          <w:ilvl w:val="0"/>
          <w:numId w:val="5"/>
        </w:numPr>
        <w:spacing w:line="100" w:lineRule="atLeast"/>
        <w:rPr>
          <w:rFonts w:ascii="Times New Roman" w:hAnsi="Times New Roman"/>
          <w:lang w:bidi="hi-IN"/>
        </w:rPr>
      </w:pPr>
      <w:r>
        <w:rPr>
          <w:rFonts w:ascii="Times New Roman" w:hAnsi="Times New Roman"/>
          <w:lang w:bidi="hi-IN"/>
        </w:rPr>
        <w:t>Nazwa i adres wykonawcy zabudowy przedziału medycznego: ________________________________________________________________________</w:t>
      </w:r>
    </w:p>
    <w:p w:rsidR="00F12310" w:rsidRDefault="008B5ECB">
      <w:pPr>
        <w:pStyle w:val="Standard"/>
        <w:numPr>
          <w:ilvl w:val="0"/>
          <w:numId w:val="5"/>
        </w:numPr>
        <w:spacing w:line="100" w:lineRule="atLeast"/>
        <w:rPr>
          <w:rFonts w:ascii="Times New Roman" w:hAnsi="Times New Roman"/>
          <w:lang w:bidi="hi-IN"/>
        </w:rPr>
      </w:pPr>
      <w:r>
        <w:rPr>
          <w:rFonts w:ascii="Times New Roman" w:hAnsi="Times New Roman"/>
          <w:lang w:bidi="hi-IN"/>
        </w:rPr>
        <w:t>Ambulans ma spełniać wymagania określone w aktu</w:t>
      </w:r>
      <w:r>
        <w:rPr>
          <w:rFonts w:ascii="Times New Roman" w:hAnsi="Times New Roman"/>
          <w:lang w:bidi="hi-IN"/>
        </w:rPr>
        <w:t>alnej polskiej normie PN-EN 1789, typ ambulansu „P” (lub normy równoważnej) w zakresie odpowiednim do przedmiotu (zakresu) prowadzonego postępowania.</w:t>
      </w:r>
    </w:p>
    <w:p w:rsidR="00F12310" w:rsidRDefault="008B5ECB">
      <w:pPr>
        <w:pStyle w:val="Standard"/>
        <w:numPr>
          <w:ilvl w:val="0"/>
          <w:numId w:val="5"/>
        </w:numPr>
        <w:spacing w:line="100" w:lineRule="atLeast"/>
        <w:rPr>
          <w:rFonts w:ascii="Times New Roman" w:hAnsi="Times New Roman"/>
          <w:lang w:bidi="hi-IN"/>
        </w:rPr>
      </w:pPr>
      <w:r>
        <w:rPr>
          <w:rFonts w:ascii="Times New Roman" w:hAnsi="Times New Roman"/>
          <w:lang w:bidi="hi-IN"/>
        </w:rPr>
        <w:t>Rok produkcji ambulansu: 2025: __________________</w:t>
      </w:r>
    </w:p>
    <w:p w:rsidR="00F12310" w:rsidRDefault="008B5ECB">
      <w:pPr>
        <w:pStyle w:val="Standard"/>
        <w:numPr>
          <w:ilvl w:val="1"/>
          <w:numId w:val="5"/>
        </w:numPr>
        <w:tabs>
          <w:tab w:val="left" w:pos="-6372"/>
        </w:tabs>
        <w:suppressAutoHyphens w:val="0"/>
        <w:spacing w:line="100" w:lineRule="atLeast"/>
        <w:jc w:val="both"/>
      </w:pPr>
      <w:r>
        <w:rPr>
          <w:rFonts w:ascii="Times New Roman" w:hAnsi="Times New Roman" w:cs="Calibri"/>
          <w:b/>
          <w:bCs/>
          <w:i/>
          <w:color w:val="000000"/>
          <w:kern w:val="3"/>
          <w:lang w:eastAsia="pl-PL" w:bidi="hi-IN"/>
        </w:rPr>
        <w:t>Termin dostawy: do 30 dni od dnia zawarcia  umowy – udzi</w:t>
      </w:r>
      <w:r>
        <w:rPr>
          <w:rFonts w:ascii="Times New Roman" w:hAnsi="Times New Roman" w:cs="Calibri"/>
          <w:b/>
          <w:bCs/>
          <w:i/>
          <w:color w:val="000000"/>
          <w:kern w:val="3"/>
          <w:lang w:eastAsia="pl-PL" w:bidi="hi-IN"/>
        </w:rPr>
        <w:t>elenia zamówienia</w:t>
      </w:r>
    </w:p>
    <w:p w:rsidR="00F12310" w:rsidRDefault="00F12310">
      <w:pPr>
        <w:pStyle w:val="Standard"/>
        <w:pageBreakBefore/>
        <w:tabs>
          <w:tab w:val="left" w:pos="-4644"/>
        </w:tabs>
        <w:suppressAutoHyphens w:val="0"/>
        <w:spacing w:line="100" w:lineRule="atLeast"/>
        <w:ind w:left="576"/>
        <w:jc w:val="both"/>
      </w:pPr>
    </w:p>
    <w:tbl>
      <w:tblPr>
        <w:tblW w:w="10773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5387"/>
        <w:gridCol w:w="1372"/>
        <w:gridCol w:w="3447"/>
      </w:tblGrid>
      <w:tr w:rsidR="00F12310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after="57"/>
              <w:jc w:val="center"/>
            </w:pPr>
            <w:r>
              <w:rPr>
                <w:b/>
                <w:bCs/>
                <w:sz w:val="20"/>
              </w:rPr>
              <w:t>Lp.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Wymagane warunki (parametry) dla samochodu bazowego, zabudowy medycznej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TAK/NIE*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Parametry oferowane*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sz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I.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NADWOZIE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Pojazd kompletny (bazowy) typu furgon, powyżej 3,5 t z nadwoziem samonośnym, zabezpieczonym </w:t>
            </w:r>
            <w:r>
              <w:rPr>
                <w:sz w:val="20"/>
              </w:rPr>
              <w:t>antykorozyjnie, z izolacją termiczną i akustyczną obejmującą ściany oraz sufit, zapobiegającą skraplaniu się pary wodnej.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Ściany i sufit w kolorze białym, wykonane z łatwo zmywalnego tworzywa sztucznego, odpornego na środki dezynfekujące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/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Częściowo </w:t>
            </w:r>
            <w:r>
              <w:rPr>
                <w:rFonts w:cs="Calibri"/>
                <w:sz w:val="20"/>
                <w:lang w:eastAsia="ar-SA"/>
              </w:rPr>
              <w:t>przeszklony (wszystkie szyby termoizolacyjne) z możliwością ewakuacji pacjenta i personelu przez szybę drzwi tylnych i bocznych. Elektrycznie ogrzewana szyba przednia. Półki nad przednią szybą.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/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Kabina kierowcy dwuosobowa zapewniająca miejsce pracy </w:t>
            </w:r>
            <w:r>
              <w:rPr>
                <w:rFonts w:cs="Calibri"/>
                <w:sz w:val="20"/>
                <w:lang w:eastAsia="ar-SA"/>
              </w:rPr>
              <w:t>kierowcy, fotel kierowcy i pasażera z regulacją w min. 2 płaszczyznach. Lampki do czytania dla kierowcy i pasażera. Dodatkowo regulowana lampka na elastycznym ramieniu dla pasażera, zamontowana na pulpicie. W kabinie kierowcy zamontowany uchwyt</w:t>
            </w:r>
            <w:r>
              <w:rPr>
                <w:rFonts w:cs="Calibri"/>
                <w:color w:val="000000"/>
                <w:sz w:val="20"/>
                <w:lang w:eastAsia="ar-SA"/>
              </w:rPr>
              <w:t xml:space="preserve"> </w:t>
            </w:r>
            <w:r>
              <w:rPr>
                <w:rFonts w:cs="Calibri"/>
                <w:sz w:val="20"/>
                <w:lang w:eastAsia="ar-SA"/>
              </w:rPr>
              <w:t xml:space="preserve">do tabletu </w:t>
            </w:r>
            <w:r>
              <w:rPr>
                <w:rFonts w:cs="Calibri"/>
                <w:sz w:val="20"/>
                <w:lang w:eastAsia="ar-SA"/>
              </w:rPr>
              <w:t>Zebra XSLATE L10 dla systemu SWD mocowane pod kątem 45º (lub możliwość reg. kąta). Anteny aktywne systemu SWD (antena GPS/GSM modułu typ „TELTONIKA” oraz anteny aktywne GPS/GSM tabletu) powinny być zainstalowane na zewnątrz pojazdu i połączone niskostratny</w:t>
            </w:r>
            <w:r>
              <w:rPr>
                <w:rFonts w:cs="Calibri"/>
                <w:sz w:val="20"/>
                <w:lang w:eastAsia="ar-SA"/>
              </w:rPr>
              <w:t>m kablem koncentrycznym (H155 lub równoważnym) z modułem GPS/GSM – dach kabiny lub przedziału medycznego. Dostęp do głowic anten powinien być możliwy po demontażu lamp sufitowych przedziału medycznego lub innych elementów jego wyposażenia.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>W kabinie kierow</w:t>
            </w:r>
            <w:r>
              <w:rPr>
                <w:rFonts w:cs="Calibri"/>
                <w:sz w:val="20"/>
                <w:lang w:eastAsia="ar-SA"/>
              </w:rPr>
              <w:t>cy zamontowana gaśnica wchodząca w skład podstawowego wyposażenie pojazdu.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rFonts w:cs="Calibri"/>
                <w:sz w:val="20"/>
                <w:lang w:eastAsia="ar-SA"/>
              </w:rPr>
            </w:pPr>
            <w:r>
              <w:rPr>
                <w:rFonts w:cs="Calibri"/>
                <w:sz w:val="20"/>
                <w:lang w:eastAsia="ar-SA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rFonts w:cs="Calibri"/>
                <w:sz w:val="20"/>
                <w:lang w:eastAsia="ar-SA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/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 komorze silnika złącze rozruchowe (dodatkowy biegun dodatni)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/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Kolor nadwozia żółty, zgodny z aktualnie obowiązującą normą PN EN 1789 lub równoważną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Przystosowany do przewozu min. 4 osób w pozycji siedzącej oraz 1 osoby w pozycji leżącej na noszach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Minimalne wymiary przedziału medycznego w mm (długość x szerokość x wysokość ) 3000 x 1700 x 1800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Drzwi tylne przeszklone otwierane na boki </w:t>
            </w:r>
            <w:r>
              <w:rPr>
                <w:sz w:val="20"/>
              </w:rPr>
              <w:t>do kąta min. 250 stopni, wyposażone w ograniczniki i blokady położenia drzwi oraz światła awaryjne, włączające się automatycznie po otwarciu drzwi.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kern w:val="3"/>
                <w:sz w:val="20"/>
                <w:lang w:eastAsia="ar-SA"/>
              </w:rPr>
              <w:t xml:space="preserve">Drzwi boczne prawe </w:t>
            </w:r>
            <w:r>
              <w:rPr>
                <w:kern w:val="3"/>
                <w:sz w:val="20"/>
              </w:rPr>
              <w:t xml:space="preserve">przedziału medycznego – przesuwane do tyłu z otwieraną szybą, ze stopniem </w:t>
            </w:r>
            <w:r>
              <w:rPr>
                <w:kern w:val="3"/>
                <w:sz w:val="20"/>
              </w:rPr>
              <w:t>elektrycznym zewnętrznym automatycznie chowanym przy zamykaniu drzwi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Uchwyt sufitowy dla pasażera w kabinie kierowcy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Zewnętrzne okna przedziału medycznego pokryte w 2/3 wysokości folią półprzeźroczystą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Przegroda oddzielająca kabinę </w:t>
            </w:r>
            <w:r>
              <w:rPr>
                <w:rFonts w:cs="Calibri"/>
                <w:sz w:val="20"/>
                <w:lang w:eastAsia="ar-SA"/>
              </w:rPr>
              <w:t>kierowcy od przedziału medycznego wyposażona w drzwi umożliwiające przejście pomiędzy kabiną kierowcy, a przedziałem medycznym, dolna prowadnica drzwi powinna być zabezpieczona przed zanieczyszczeniami z podłogi ambulansu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Centralny zamek wszystkich</w:t>
            </w:r>
            <w:r>
              <w:rPr>
                <w:sz w:val="20"/>
              </w:rPr>
              <w:t xml:space="preserve"> drzwi sterowany pilotem (łącznie z drzwiami do zewnętrznego schowka) z alarmem obejmującym wszystkie drzwi pojazdu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Drzwi boczne lewe przesuwane do tyłu, bez szyby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Zewnętrzny schowek za lewymi drzwiami przesuwnymi, umożliwiający </w:t>
            </w:r>
            <w:r>
              <w:rPr>
                <w:rFonts w:cs="Calibri"/>
                <w:sz w:val="20"/>
                <w:lang w:eastAsia="ar-SA"/>
              </w:rPr>
              <w:t>mocowanie: 2 szt. butli tlenowych  8L z reduktorami, krzesełka kardiologicznego z systemem płozowym, noszy podbierakowych, deski ortopedycznej dla dorosłych, deski ortopedycznej dla dzieci - dopuszcza się inne miejsce, materaca próżniowego, kamizelki unier</w:t>
            </w:r>
            <w:r>
              <w:rPr>
                <w:rFonts w:cs="Calibri"/>
                <w:sz w:val="20"/>
                <w:lang w:eastAsia="ar-SA"/>
              </w:rPr>
              <w:t xml:space="preserve">uchamiającej typu KED, min. 3 kasków ochronnych - dopuszcza się inne miejsce, urządzenia do mechanicznego masażu klatki piersiowej(LUCAS), torby z zestawem tlenowym oraz torby opatrunkowej 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>z dostępem również z przedziału medycznego, systemów unieruchomiaj</w:t>
            </w:r>
            <w:r>
              <w:rPr>
                <w:rFonts w:cs="Calibri"/>
                <w:sz w:val="20"/>
                <w:lang w:eastAsia="ar-SA"/>
              </w:rPr>
              <w:t>ących głowę, miejsce dla pasów do desek, krzesełka i noszy, wyposażenia technicznego (łom, łopata, klin pod koła). Koncepcja zabudowy, liczba i miejsce rozmieszczenia półek do uzgodnienia po podpisaniu umowy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Poduszka powietrzna dla kierowcy i </w:t>
            </w:r>
            <w:r>
              <w:rPr>
                <w:sz w:val="20"/>
              </w:rPr>
              <w:t>pasażera, dwie poduszki boczne oraz kurtyny powietrzne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Stopień wejściowy tylny zintegrowany ze zderzakiem pokryty wykładziną antypoślizgową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Elektrycznie otwierane szyby boczne w kabinie kierowcy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Reflektory przednie oraz światła </w:t>
            </w:r>
            <w:r>
              <w:rPr>
                <w:sz w:val="20"/>
              </w:rPr>
              <w:t xml:space="preserve">do jazdy dziennej typu LED, włączane automatycznie po uruchomieniu silnika, 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>a w chwili włączenia sygnałów świetlno-dźwiękowych przełączane samoczynnie na światła mijania (i odwrotnie)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Przednie reflektory przeciwmgielne z funkcją doświetlenia </w:t>
            </w:r>
            <w:r>
              <w:rPr>
                <w:sz w:val="20"/>
              </w:rPr>
              <w:t>zakrętów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Światła boczne pozycyjne zwiększające zauważalność ambulansu w warunkach ograniczonej widoczności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Wsteczne lusterka zewnętrzne elektrycznie podgrzewane i regulowane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Podnośnik samochodowy, pełnowymiarowe koło zapasowe </w:t>
            </w:r>
            <w:r>
              <w:rPr>
                <w:rFonts w:cs="Calibri"/>
                <w:sz w:val="20"/>
                <w:lang w:eastAsia="ar-SA"/>
              </w:rPr>
              <w:t>umieszczone poza przedziałem medycznym w miejscu umożliwiającym jego wymianę przez kierowcę ambulansu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Wylot spalin umiejscowiony tak, aby zapobiec możliwości dostawania się ich do przedziału medycznego zwłaszcza przez najczęściej otwierane drzwi b</w:t>
            </w:r>
            <w:r>
              <w:rPr>
                <w:sz w:val="20"/>
              </w:rPr>
              <w:t>oczne prawe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Zbiornik paliwa o pojemności min. 70 l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Zbiornik AdBlue o pojemności min. 15 l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Kamera biegu wstecznego z obrazem wyświetlanym w lusterku wstecznym lub monitorze zamontowanym na kokpicie kierowcy. Zaleca się montaż </w:t>
            </w:r>
            <w:r>
              <w:rPr>
                <w:rFonts w:cs="Calibri"/>
                <w:sz w:val="20"/>
                <w:lang w:eastAsia="ar-SA"/>
              </w:rPr>
              <w:t>kamery biegu wstecznego wewnątrz ambulansu aby nie była narażona na niekorzystne warunki atmosferyczne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Zamawiający wymaga, aby instalacja elektryczna ambulansu podłączona została do instalacji elektrycznej pojazdu bazowego zgodnie z wytycznymi </w:t>
            </w:r>
            <w:r>
              <w:rPr>
                <w:sz w:val="20"/>
              </w:rPr>
              <w:t>producenta pojazdu.</w:t>
            </w:r>
            <w:r>
              <w:rPr>
                <w:sz w:val="20"/>
              </w:rPr>
              <w:br/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Radio z odtwarzaczem USB lub MP3 z głośnikami w kabinie kierowcy (min. 2 szt.) i przedziale medycznym 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 xml:space="preserve">(min. 1 szt.), zasilany z 12 V z eliminacją zakłóceń i anteną dachową ze wzmacniaczem antenowym. Możliwość całkowitego </w:t>
            </w:r>
            <w:r>
              <w:rPr>
                <w:sz w:val="20"/>
              </w:rPr>
              <w:t>wyciszenia głośników w przedziale medycznym z panelu sterującego. Radio z możliwością bezprzewodowego podłączenia telefonu (Bluetooth)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</w:pPr>
            <w:r>
              <w:rPr>
                <w:sz w:val="20"/>
              </w:rPr>
              <w:t>Kabina kierowcy wyposażona w panel sterujący zamontowany w miejscu widocznym i łatwo dostępnym dla kierowcy: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 xml:space="preserve">- </w:t>
            </w:r>
            <w:r>
              <w:rPr>
                <w:sz w:val="20"/>
              </w:rPr>
              <w:t>informujący o działaniu reflektorów zewnętrznych</w:t>
            </w:r>
          </w:p>
          <w:p w:rsidR="00F12310" w:rsidRDefault="008B5ECB">
            <w:pPr>
              <w:pStyle w:val="Textbody"/>
              <w:ind w:left="113" w:right="-227" w:hanging="113"/>
            </w:pPr>
            <w:r>
              <w:rPr>
                <w:sz w:val="20"/>
              </w:rPr>
              <w:t>- informujący o braku możliwości uruchomienia pojazdu przy podłączenia ambulansu do zewnętrznej sieci zasilającej 230 V AC</w:t>
            </w:r>
          </w:p>
          <w:p w:rsidR="00F12310" w:rsidRDefault="008B5ECB">
            <w:pPr>
              <w:pStyle w:val="Textbody"/>
              <w:ind w:left="113" w:hanging="113"/>
            </w:pPr>
            <w:r>
              <w:rPr>
                <w:sz w:val="20"/>
              </w:rPr>
              <w:t xml:space="preserve">- informujący o braku możliwości uruchomienia ambulansu w przypadku otwartych drzwi </w:t>
            </w:r>
            <w:r>
              <w:rPr>
                <w:sz w:val="20"/>
              </w:rPr>
              <w:t>między przedziałem medycznym a kabiną kierowcy</w:t>
            </w:r>
          </w:p>
          <w:p w:rsidR="00F12310" w:rsidRDefault="008B5ECB">
            <w:pPr>
              <w:pStyle w:val="Textbody"/>
              <w:ind w:left="170" w:hanging="170"/>
            </w:pPr>
            <w:r>
              <w:rPr>
                <w:rFonts w:cs="Calibri"/>
                <w:sz w:val="20"/>
                <w:lang w:eastAsia="ar-SA"/>
              </w:rPr>
              <w:t>- informujący o poziomie naładowania akumulatora samochodu bazowego i akumulatora dodatkowego zasilającego przedział medyczny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sterujący pracą dodatkowych sygnałów dźwiękowych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Panel przyciskowy/guzikowy nie t</w:t>
            </w:r>
            <w:r>
              <w:rPr>
                <w:sz w:val="20"/>
              </w:rPr>
              <w:t>ypu touchscreen lub rezystencyjnego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>Kabina kierowcy posiadająca: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>- wyłącznik dodatkowej elektrycznej grzałki silnika oraz wskaźnik zasilania grzałki napięciem zew. 230 V AC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 xml:space="preserve">- </w:t>
            </w:r>
            <w:r>
              <w:rPr>
                <w:rFonts w:ascii="Liberation Serif" w:eastAsia="Liberation Serif" w:hAnsi="Liberation Serif" w:cs="Calibri"/>
                <w:kern w:val="3"/>
                <w:sz w:val="20"/>
                <w:lang w:eastAsia="ar-SA"/>
              </w:rPr>
              <w:t xml:space="preserve">min. 4 </w:t>
            </w:r>
            <w:r>
              <w:rPr>
                <w:rFonts w:ascii="Liberation Serif" w:eastAsia="Liberation Serif" w:hAnsi="Liberation Serif" w:cs="Liberation Serif"/>
                <w:kern w:val="3"/>
                <w:sz w:val="20"/>
              </w:rPr>
              <w:t xml:space="preserve">gniazda 12 V (tzw. gniazda zapalniczki) i dwa gniazda zasilania </w:t>
            </w:r>
            <w:r>
              <w:rPr>
                <w:rFonts w:ascii="Liberation Serif" w:eastAsia="Liberation Serif" w:hAnsi="Liberation Serif" w:cs="Liberation Serif"/>
                <w:kern w:val="3"/>
                <w:sz w:val="20"/>
              </w:rPr>
              <w:t>USB</w:t>
            </w:r>
            <w:r>
              <w:rPr>
                <w:rFonts w:ascii="Liberation Serif" w:eastAsia="Liberation Serif" w:hAnsi="Liberation Serif" w:cs="Liberation Serif"/>
                <w:kern w:val="3"/>
                <w:sz w:val="20"/>
                <w:shd w:val="clear" w:color="auto" w:fill="FFBF00"/>
              </w:rPr>
              <w:br/>
            </w:r>
            <w:r>
              <w:rPr>
                <w:rFonts w:cs="Calibri"/>
                <w:sz w:val="20"/>
                <w:lang w:eastAsia="ar-SA"/>
              </w:rPr>
              <w:t>- wyświetlacz komunikatów w technologii LCD lub LED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4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II.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SILNIK I NAPĘD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Elastyczny, zapewniający przyspieszenie pozwalające na sprawną pracę w ruchu miejskim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Silnik o pojemności min. 1900 cm³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Silnik o mocy min. 120 kW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Moment obrotowy min. 350 Nm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Norma emisji spalin EURO VI lub EURO 6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Skrzynia biegów automatyczna lub manualna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Min. 6-biegów do przodu i bieg wsteczny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Napęd na dwie osie 4x4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III.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b/>
                <w:bCs/>
                <w:sz w:val="20"/>
              </w:rPr>
              <w:t>UKŁAD HAMULCOWY I SYSTEMY BEZPIECZEŃSTWA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Układ hamulcowy ze wspomaganiem, wskaźnik zużycia klocków hamulcowych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Z systemem zapobiegającym blokadzie kół podczas hamowania - ABS lub równoważny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Elektroniczny korektor siły hamowania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Z systemem wspomagania nagłego </w:t>
            </w:r>
            <w:r>
              <w:rPr>
                <w:sz w:val="20"/>
              </w:rPr>
              <w:t>(awaryjnego) hamowania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Hamulce tarczowe na obu osiach (przód i tył), przednie i tylne wentylowane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System stabilizacji toru jazdy typu ESP adaptacyjny tzn. uwzględniający obciążenie pojazdu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System zapobiegający poślizgowi kół osi </w:t>
            </w:r>
            <w:r>
              <w:rPr>
                <w:sz w:val="20"/>
              </w:rPr>
              <w:t>napędzanej przy ruszaniu typu ASR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System wspomagania ruszania pod górę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IV.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ZAWIESZENIE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Fabryczne zawieszenie posiadające wzmocnione drążki stabilizacyjne obu osi. Zawieszenie przednie i tylne wzmocnione, dostosowane do funkcji ambulansu </w:t>
            </w:r>
            <w:r>
              <w:rPr>
                <w:sz w:val="20"/>
              </w:rPr>
              <w:t>sanitarnego, zapewniające odpowiedni komfort transportu pacjenta, gwarantujące dobrą przyczepność kół do nawierzchni, stabilność i manewrowość w trudnym terenie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V.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UKŁAD KIEROWNICZY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Ze wspomaganiem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Kierownica regulowana w dwóch </w:t>
            </w:r>
            <w:r>
              <w:rPr>
                <w:sz w:val="20"/>
              </w:rPr>
              <w:t>płaszczyznach niezależnie tzn. góra-dół i przód tył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VI.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OGRZEWANIE I WENTYLACJA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Ogrzewanie wewnętrzne postojowe – grzejnik elektryczny z sieci 230 V z możliwością ustawienia temperatury i termostatem, min. moc grzewcza 2000 W. Stycznik zasilania </w:t>
            </w:r>
            <w:r>
              <w:rPr>
                <w:rFonts w:cs="Calibri"/>
                <w:sz w:val="20"/>
                <w:lang w:eastAsia="ar-SA"/>
              </w:rPr>
              <w:t>urządzenia grzewczego powinien posiadać obciążalność styków większą od mocy maksymalnej urządzenia grzewczego oraz powinien być zainstalowany w miejscu umożliwiającym jego łatwą wymianę – podać markę i model grzejnika.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>Przekaźnik uruchomiający stycznik pow</w:t>
            </w:r>
            <w:r>
              <w:rPr>
                <w:rFonts w:cs="Calibri"/>
                <w:sz w:val="20"/>
                <w:lang w:eastAsia="ar-SA"/>
              </w:rPr>
              <w:t>inien posiadać wyprowadzoną na zewnątrz sygnalizację napięcia sterującego stycznikiem załączającym grzejnik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Mechaniczna wentylacja nawiewno-wywiewna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Niezależny od silnika system ogrzewania przedziału medycznego (typu powietrznego) z </w:t>
            </w:r>
            <w:r>
              <w:rPr>
                <w:rFonts w:cs="Calibri"/>
                <w:sz w:val="20"/>
                <w:lang w:eastAsia="ar-SA"/>
              </w:rPr>
              <w:t>możliwością ustawienia temperatury i termostatem, o mocy min. 5,0 kW umożliwiający ogrzanie przedziału medycznego z funkcją dodatkowego dogrzewania po otwarciu drzwi przedziału medycznego – podać markę i model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8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Klimatyzacja dwuparownikowa, oddzielna</w:t>
            </w:r>
            <w:r>
              <w:rPr>
                <w:sz w:val="20"/>
              </w:rPr>
              <w:t xml:space="preserve"> dla kabiny kierowcy i przedziału medycznego. W przedziale medycznym klimatyzacja automatyczna tj. po ustawieniu żądanej temperatury systemy chłodzące lub grzewcze automatycznie utrzymują żądaną temperaturę w przedziale medycznym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6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Dodatkowa </w:t>
            </w:r>
            <w:r>
              <w:rPr>
                <w:sz w:val="20"/>
              </w:rPr>
              <w:t>nagrzewnica wodna w przedziale medycznym wykorzystująca ciecz chłodzącą silnik, ogrzewanie przedziału medycznego z możliwością ustawienia temperatury i termostatem – podać markę i model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714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Czujnik temperatury zewnętrznej ogrzewania ambulansu powinien </w:t>
            </w:r>
            <w:r>
              <w:rPr>
                <w:rFonts w:cs="Calibri"/>
                <w:sz w:val="20"/>
                <w:lang w:eastAsia="ar-SA"/>
              </w:rPr>
              <w:t>być zainstalowany w oznakowanym miejscu w sposób umożliwiający jego łatwą wymianę oraz uniemożliwiający jego uszkodzenia mechaniczne w trakcie eksploatacji ambulansu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534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VII.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INSTALACJA ELEKTRYCZNA I OŚWIETLENIE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Zespół dwóch akumulatorów o łącznej </w:t>
            </w:r>
            <w:r>
              <w:rPr>
                <w:sz w:val="20"/>
              </w:rPr>
              <w:t>pojemności min. 180 Ah do zasilania wszystkich odbiorników prądu w pojeździe oraz przedziale medycznym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Akumulator zasilający przedział medyczny, podłączany za pomocą standardowej klemy z dodatkowym ręcznym rozłącznikiem. Wspomagający układ </w:t>
            </w:r>
            <w:r>
              <w:rPr>
                <w:sz w:val="20"/>
              </w:rPr>
              <w:t>awaryjnego rozruchu silnika, umożliwiający równoległe połączenie dwóch akumulatorów podczas rozruchu, wykonany na styczniku o dużej obciążalności prądowej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Wzmocniony alternator (min. 220 A) spełniający wymogi obsługi wszystkich odbiorników prądu i </w:t>
            </w:r>
            <w:r>
              <w:rPr>
                <w:sz w:val="20"/>
              </w:rPr>
              <w:t>jednoczesnego ładowania dwóch akumulatorów w czasie jazdy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7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Automatyczna mikroprocesorowa ładowarka akumulatorów (zasilana napięciem zewnętrznym 230V AC) ładująca akumulatory. Prąd ładowania powinien być dobierany automatycznie dla każdego z </w:t>
            </w:r>
            <w:r>
              <w:rPr>
                <w:rFonts w:cs="Calibri"/>
                <w:sz w:val="20"/>
                <w:lang w:eastAsia="ar-SA"/>
              </w:rPr>
              <w:t>akumulatorów w zależności od jego pojemności, typu, oraz napięcia i poziomu rozładowania.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sz w:val="20"/>
              </w:rPr>
            </w:pPr>
          </w:p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>Instalacja elektryczna 230 V AC: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>a) zasilanie zewnętrzne 230 V AC jednofazowe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>b) min. 4 gniazda 230 V AC w przedziale medycznym z przeciwporażeniowym stykiem</w:t>
            </w:r>
            <w:r>
              <w:rPr>
                <w:rFonts w:cs="Calibri"/>
                <w:sz w:val="20"/>
                <w:lang w:eastAsia="ar-SA"/>
              </w:rPr>
              <w:t xml:space="preserve"> ochronnym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>c) zabezpieczenie uniemożliwiające rozruch silnika przy podłączonym zasilaniu zewnętrznym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>d) różnicowoprądowe zabezpieczenie przeciwporażeniowe dla zasilania zewnętrznego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>e) przewód zasilający min 10m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>f) gniazdo zasilania zewnętrznego w wykonani</w:t>
            </w:r>
            <w:r>
              <w:rPr>
                <w:rFonts w:cs="Calibri"/>
                <w:sz w:val="20"/>
                <w:lang w:eastAsia="ar-SA"/>
              </w:rPr>
              <w:t>u bryzgoszczelnym mocowane na karoserii na dodatkowym demontowalnym chassis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color w:val="000000"/>
                <w:sz w:val="20"/>
                <w:lang w:eastAsia="ar-SA"/>
              </w:rPr>
              <w:t>g) czytelnie opisana tablica przeznaczeń bezpieczników i przekaźników, umieszczona w łatwo dostępnym miejscu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Na pojeździe ma być zamontowana wizualna sygnalizacja </w:t>
            </w:r>
            <w:r>
              <w:rPr>
                <w:sz w:val="20"/>
              </w:rPr>
              <w:t>informująca o podłączeniu ambulansu do sieci 230V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>W kabinie kierowcy w skrzynce obwodów 230 V AC zainstalowany rozłącznik elektrycznej dodatkowej grzałki silnika zasilanej napięciem zewnętrznym 230 V AC i zainstalowany na przewodzie fazowym oraz ne</w:t>
            </w:r>
            <w:r>
              <w:rPr>
                <w:rFonts w:cs="Calibri"/>
                <w:sz w:val="20"/>
                <w:lang w:eastAsia="ar-SA"/>
              </w:rPr>
              <w:t>utralnym grzałki.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 xml:space="preserve">Instalacja elektryczna 12 V w przedziale medycznym: - min. 4 gniazda 12 V (o obciążalności do 20 A), do podłączenia urządzeń medycznych, - gniazda wyposażone w rozbieralne wtyki.                                                            </w:t>
            </w:r>
            <w:r>
              <w:rPr>
                <w:rFonts w:cs="Calibri"/>
                <w:sz w:val="20"/>
                <w:lang w:eastAsia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cs="Calibri"/>
                <w:sz w:val="20"/>
                <w:lang w:eastAsia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cs="Calibri"/>
                <w:sz w:val="20"/>
                <w:lang w:eastAsia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cs="Calibri"/>
                <w:sz w:val="20"/>
                <w:lang w:eastAsia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cs="Calibri"/>
                <w:sz w:val="20"/>
                <w:lang w:eastAsia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cs="Calibri"/>
                <w:sz w:val="20"/>
                <w:lang w:eastAsia="ar-SA"/>
              </w:rPr>
              <w:t xml:space="preserve">                                                                                         Dodatkowo minimum 3 gniazda zasilania 12 V w przedziale medycznym  w wykonaniu gniazda zapalniczki samochodowej do aparatury medycznej oraz minimum 4 gniazda w kabinie</w:t>
            </w:r>
            <w:r>
              <w:rPr>
                <w:rFonts w:cs="Calibri"/>
                <w:sz w:val="20"/>
                <w:lang w:eastAsia="ar-SA"/>
              </w:rPr>
              <w:t xml:space="preserve"> kierowcy w wykonaniu zapalniczki samochodowej oraz 2 gniazda zasilania USB 5V. Gniazdo zasilania tabletu powinno być zasilane niezależnie od wyłączenia zapłonu. Każde gniazdo powinno posiadać swój numer oraz posiadać bezpiecznik z czytelnym opisem numeru </w:t>
            </w:r>
            <w:r>
              <w:rPr>
                <w:rFonts w:cs="Calibri"/>
                <w:sz w:val="20"/>
                <w:lang w:eastAsia="ar-SA"/>
              </w:rPr>
              <w:t>gniazda. Gniazdo zapalniczki 12 V zasilania drukarki powinno być umieszczone w pobliżu miejsca instalacji drukarki.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Nie dopuszcza się instalacji gniazda zapalniczki służącej do zasilania ładowarki radiotelefonu noszonego w podstawach  fotela kierowcy oraz </w:t>
            </w:r>
            <w:r>
              <w:rPr>
                <w:rFonts w:cs="Calibri"/>
                <w:sz w:val="20"/>
                <w:lang w:eastAsia="ar-SA"/>
              </w:rPr>
              <w:t>pasażera z uwagi na łatwość uszkodzenia. Gniazdo powinno być zainstalowane na przegrodzie oddzielającej przedział medyczny od kierowcy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>Atestowana przetwornica prądu stałego 12 V na zmienny 230 V/50 Hz (sinus) o mocy ciągłej min. 1000 VA.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 xml:space="preserve">W </w:t>
            </w:r>
            <w:r>
              <w:rPr>
                <w:rFonts w:cs="Calibri"/>
                <w:sz w:val="20"/>
                <w:lang w:eastAsia="ar-SA"/>
              </w:rPr>
              <w:t>przedziale medycznym 4 oddzielne gniazda 230 V AC zasilane z przetwornicy i służące do zasilania urządzeń medycznych oraz drukarki systemu SWD w czasie jazdy. Dodatkowa mała przetwornica 12 V DC/230 V AC o mocy do 300 W do zasilania drukarki systemu SWD, z</w:t>
            </w:r>
            <w:r>
              <w:rPr>
                <w:rFonts w:cs="Calibri"/>
                <w:sz w:val="20"/>
                <w:lang w:eastAsia="ar-SA"/>
              </w:rPr>
              <w:t>ainstalowana w pobliżu drukarki.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Nie dopuszcza się instalowania dodatkowych przekaźników elektrycznych we wnękach nadwozia oraz przestrzeniach pomiędzy nadwoziem a ścianami przedziału medycznego bez dodatkowej hermetycznej obudowy elektrycznej oraz bez moż</w:t>
            </w:r>
            <w:r>
              <w:rPr>
                <w:sz w:val="20"/>
              </w:rPr>
              <w:t>liwości ich serwisu lub wymiany.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ind w:right="-170"/>
            </w:pPr>
            <w:r>
              <w:rPr>
                <w:rFonts w:cs="Calibri"/>
                <w:sz w:val="20"/>
                <w:lang w:eastAsia="ar-SA"/>
              </w:rPr>
              <w:t>Oświetlenie charakteryzujące się parametrami nie gorszymi jak poniżej:</w:t>
            </w:r>
          </w:p>
          <w:p w:rsidR="00F12310" w:rsidRDefault="008B5ECB">
            <w:pPr>
              <w:pStyle w:val="Textbody"/>
              <w:spacing w:before="57" w:after="57"/>
              <w:ind w:left="227" w:right="-170" w:hanging="227"/>
            </w:pPr>
            <w:r>
              <w:rPr>
                <w:rFonts w:cs="Calibri"/>
                <w:sz w:val="20"/>
                <w:lang w:eastAsia="ar-SA"/>
              </w:rPr>
              <w:t>1) światło rozproszone umieszczone po obu stronach górnej części przedziału medycznego min. 6 lamp sufitowych LED, z funkcją regulacji natężenia</w:t>
            </w:r>
            <w:r>
              <w:rPr>
                <w:rFonts w:cs="Calibri"/>
                <w:sz w:val="20"/>
                <w:lang w:eastAsia="ar-SA"/>
              </w:rPr>
              <w:t xml:space="preserve"> światła lub wyłączania na czas transportu pacjenta (tzw. oświetlenie nocne)</w:t>
            </w:r>
          </w:p>
          <w:p w:rsidR="00F12310" w:rsidRDefault="008B5ECB">
            <w:pPr>
              <w:pStyle w:val="Textbody"/>
              <w:spacing w:before="57" w:after="57"/>
              <w:ind w:left="227" w:right="-170" w:hanging="227"/>
            </w:pPr>
            <w:r>
              <w:rPr>
                <w:rFonts w:cs="Calibri"/>
                <w:sz w:val="20"/>
                <w:lang w:eastAsia="ar-SA"/>
              </w:rPr>
              <w:t>2) oświetlenie halogenowe regulowane umieszczone w suficie nad noszami punktowe (min. 2 szt.)</w:t>
            </w:r>
          </w:p>
          <w:p w:rsidR="00F12310" w:rsidRDefault="008B5ECB">
            <w:pPr>
              <w:pStyle w:val="Textbody"/>
              <w:spacing w:before="57" w:after="57"/>
              <w:ind w:left="227" w:right="-170" w:hanging="227"/>
            </w:pPr>
            <w:r>
              <w:rPr>
                <w:rFonts w:cs="Calibri"/>
                <w:sz w:val="20"/>
                <w:lang w:eastAsia="ar-SA"/>
              </w:rPr>
              <w:t>3) halogen zamontowany nad blatem roboczym</w:t>
            </w:r>
          </w:p>
          <w:p w:rsidR="00F12310" w:rsidRDefault="008B5ECB">
            <w:pPr>
              <w:pStyle w:val="Textbody"/>
              <w:spacing w:before="57" w:after="57"/>
              <w:ind w:left="227" w:right="-170" w:hanging="227"/>
            </w:pPr>
            <w:r>
              <w:rPr>
                <w:rFonts w:cs="Calibri"/>
                <w:sz w:val="20"/>
                <w:lang w:eastAsia="ar-SA"/>
              </w:rPr>
              <w:t xml:space="preserve">4) oświetlenie lampami LED schowka </w:t>
            </w:r>
            <w:r>
              <w:rPr>
                <w:rFonts w:cs="Calibri"/>
                <w:sz w:val="20"/>
                <w:lang w:eastAsia="ar-SA"/>
              </w:rPr>
              <w:t>medycznego za kabiną kierowcy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ind w:left="720" w:right="-170" w:hanging="360"/>
              <w:rPr>
                <w:rFonts w:cs="Calibri"/>
                <w:sz w:val="20"/>
                <w:lang w:eastAsia="ar-SA"/>
              </w:rPr>
            </w:pPr>
            <w:r>
              <w:rPr>
                <w:rFonts w:cs="Calibri"/>
                <w:sz w:val="20"/>
                <w:lang w:eastAsia="ar-SA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ind w:left="720" w:right="-170" w:hanging="360"/>
              <w:rPr>
                <w:rFonts w:cs="Calibri"/>
                <w:sz w:val="20"/>
                <w:lang w:eastAsia="ar-SA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Ambulans powinien mieć zainstalowany moduł GPS/GSM systemu SWD PRM, gniazdo do modułu GSM/GPS powinno być zasilane napięciem 12 V DC oraz mieć wyprowadzone sygnały pracy silnika i załączonej sygnalizacji świetlnej. </w:t>
            </w:r>
            <w:r>
              <w:rPr>
                <w:sz w:val="20"/>
              </w:rPr>
              <w:t>Miejsce instalacji modułu GPS/GSM systemu SWD PRM powinno być łatwo dostępne dla serwisu oraz czytelnie oznaczone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Grzałka silnika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VIII.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ind w:left="3458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b/>
                <w:bCs/>
                <w:sz w:val="20"/>
              </w:rPr>
              <w:t>SYGNALIZACJA ŚWIETLNO-DŹWIĘKOWA I OZNAKOWANIE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Sygnalizacja uprzywilejowana zainstalowana na dachu </w:t>
            </w:r>
            <w:r>
              <w:rPr>
                <w:rFonts w:cs="Calibri"/>
                <w:sz w:val="20"/>
                <w:lang w:eastAsia="ar-SA"/>
              </w:rPr>
              <w:t>ambulansu w formie belki świetlnej umieszczonej na przedniej części pojazdu nad kabiną kierowcy z modułami LED koloru niebieskiego.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>Nie dopuszcza się sygnalizacji świetlnej typu kogut i belki zintegrowanej z dachem pojazdu (wbudowanej w konstrukcję dachu p</w:t>
            </w:r>
            <w:r>
              <w:rPr>
                <w:rFonts w:cs="Calibri"/>
                <w:sz w:val="20"/>
                <w:lang w:eastAsia="ar-SA"/>
              </w:rPr>
              <w:t>ojazdu).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 pasie przednim zamontowany głośnik o mocy min. 100 W w wykonaniu bryzgoszczelnym, sygnał dźwiękowy modulowany z możliwością podawania komunikatów głosowych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Sygnalizacja uprzywilejowana zainstalowana na dachu w tylnej części </w:t>
            </w:r>
            <w:r>
              <w:rPr>
                <w:rFonts w:cs="Calibri"/>
                <w:sz w:val="20"/>
                <w:lang w:eastAsia="ar-SA"/>
              </w:rPr>
              <w:t xml:space="preserve">pojazdu z modułami LED koloru niebieskiego, dodatkowe światła LED robocze do oświetlania przedpola za ambulansem. 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>Nie dopuszcza się sygnalizacji świetlnej typu kogut i belki zintegrowanej z dachem pojazdu (wbudowanej w konstrukcję dachu pojazdu).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Włączanie sygnalizacji dźwiękowo-świetlnej realizowane poprzez przycisk umieszczony w widocznym, łatwo dostępnym miejscu na desce rozdzielczej kierowcy oraz klakson pojazdu.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Dodatkowe sygnały dźwiękowe pneumatyczne lub elektryczne przeznaczone do p</w:t>
            </w:r>
            <w:r>
              <w:rPr>
                <w:sz w:val="20"/>
              </w:rPr>
              <w:t>racy ciągłej. Klaksony sygnałów powinny posiadać odpowiednią konstrukcję lub miejsce instalacji, tak aby nie zbierały zanieczyszczeń podczas jazdy.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Światła awaryjne zamontowane na drzwiach tylnych włączające się po otwarciu drzwi widoczne przy </w:t>
            </w:r>
            <w:r>
              <w:rPr>
                <w:sz w:val="20"/>
              </w:rPr>
              <w:t xml:space="preserve">otwarciu 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>o 90, 180 i 250 stopni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Dwie lampy LED niebieskiej barwy na wysokości pasa przedniego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Min. po dwa reflektory zewnętrzne LED po bokach pojazdu, do oświetlenia miejsca akcji, z możliwością włączania/wyłączania zarówno z kabiny </w:t>
            </w:r>
            <w:r>
              <w:rPr>
                <w:sz w:val="20"/>
              </w:rPr>
              <w:t>kierowcy jak i z przedziału medycznego.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 w:bidi="fa-IR"/>
              </w:rPr>
              <w:t xml:space="preserve">Nie dopuszcza się instalacji lamp sygnalizacyjnych LED na płaszczyznach nadwozia o profilu krzywym (błotniki, burty) za pomocą wkrętów do blachy ze względu na ich częste uszkodzenia. Lampy powinny być </w:t>
            </w:r>
            <w:r>
              <w:rPr>
                <w:rFonts w:cs="Calibri"/>
                <w:sz w:val="20"/>
                <w:lang w:eastAsia="ar-SA" w:bidi="fa-IR"/>
              </w:rPr>
              <w:t>mocowane w technologii klejenia z możliwością ich wymiany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Oznakowanie zewnętrzne pojazdu zgodnie z obowiązującymi przepisami prawa o ruchu drogowym oraz Rozporządzeniem Ministra Zdrowia z dnia 3.01.2023 r. w sprawie oznaczenia systemu Państwowe Ra</w:t>
            </w:r>
            <w:r>
              <w:rPr>
                <w:sz w:val="20"/>
              </w:rPr>
              <w:t>townictwo Medyczne oraz wymagań w zakresie umundurowania członków zespołów ratownictwa medycznego.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>Oznaczenie symbolem typu „P” lub „S”, logotyp/nazwa Zamawiającego, kryptonim zespołu ratownictwa medycznego oraz informację o współfinansowaniu zakupu – do u</w:t>
            </w:r>
            <w:r>
              <w:rPr>
                <w:sz w:val="20"/>
              </w:rPr>
              <w:t>zgodnienia po podpisaniu umowy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IX.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PRZEDZIAŁ MEDYCZNY I JEGO WYPOSAŻENIE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kern w:val="3"/>
                <w:sz w:val="20"/>
                <w:lang w:eastAsia="zh-CN" w:bidi="hi-IN"/>
              </w:rPr>
              <w:t xml:space="preserve">Na ścianie lewej przedziału medycznego zainstalowane prowadnice szynowe przystosowane do zamocowania  urządzeń medycznych na płytach montażowych wykonanych z blachy </w:t>
            </w:r>
            <w:r>
              <w:rPr>
                <w:rFonts w:cs="Calibri"/>
                <w:kern w:val="3"/>
                <w:sz w:val="20"/>
                <w:lang w:eastAsia="zh-CN" w:bidi="hi-IN"/>
              </w:rPr>
              <w:t>aluminiowej o grubości minimum 4 mm. Płyty montowane na szynowych prowadnicach muszą mieć możliwość łatwego demontażu oraz rozmieszczenia wyposażenia wg. uznania Zamawiającego. Długość prowadnic szynowych powinna pozwalać na możliwość instalacji następując</w:t>
            </w:r>
            <w:r>
              <w:rPr>
                <w:rFonts w:cs="Calibri"/>
                <w:kern w:val="3"/>
                <w:sz w:val="20"/>
                <w:lang w:eastAsia="zh-CN" w:bidi="hi-IN"/>
              </w:rPr>
              <w:t>ych urządzeń medycznych: respirator, defibrylator, pompa strzykawkowa, ładowarka akumulatorów defibrylatora. Zamawiający dopuszcza montaż dodatkowej prowadnicy szynowej pod prowadnicą główną. Zamawiający nie dopuszcza mocowania na stałe uchwytów do w/w spr</w:t>
            </w:r>
            <w:r>
              <w:rPr>
                <w:rFonts w:cs="Calibri"/>
                <w:kern w:val="3"/>
                <w:sz w:val="20"/>
                <w:lang w:eastAsia="zh-CN" w:bidi="hi-IN"/>
              </w:rPr>
              <w:t>zętu medycznego bezpośrednio do ściany przedziału medycznego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kern w:val="3"/>
                <w:sz w:val="20"/>
                <w:lang w:eastAsia="zh-CN" w:bidi="hi-IN"/>
              </w:rPr>
              <w:t xml:space="preserve">Na prawej ścianie min. 1 fotel obrotowy ze zintegrowanym zagłówkiem (Zamawiający dopuszcza zagłówki regulowane), fotel/fotele wyposażone w bezwładnościowe, trzypunktowe pasy </w:t>
            </w:r>
            <w:r>
              <w:rPr>
                <w:rFonts w:cs="Calibri"/>
                <w:kern w:val="3"/>
                <w:sz w:val="20"/>
                <w:lang w:eastAsia="zh-CN" w:bidi="hi-IN"/>
              </w:rPr>
              <w:t>bezpieczeństwa, z regulowanym oparciem pod plecami (regulowany kąt oparcia). Wszystkie fotele wykonane z materiału łatwo zmywalnego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kern w:val="3"/>
                <w:sz w:val="20"/>
                <w:lang w:eastAsia="zh-CN" w:bidi="hi-IN"/>
              </w:rPr>
              <w:t xml:space="preserve">Przy ścianie działowej u wezgłowia noszy przesuwany fotel obrotowy umożliwiający jazdę tyłem do kierunku jazdy, ze </w:t>
            </w:r>
            <w:r>
              <w:rPr>
                <w:rFonts w:cs="Calibri"/>
                <w:kern w:val="3"/>
                <w:sz w:val="20"/>
                <w:lang w:eastAsia="zh-CN" w:bidi="hi-IN"/>
              </w:rPr>
              <w:t>składanym do pionu siedziskiem, zagłówkiem (regulowanym lub zintegrowanym), bezwładnościowym pasem bezpieczeństwa oraz regulowanym oparciem (regulowany kąt oparcia). Fotel musi posiadać możliwość zablokowania w wybranej pozycji. Zakres regulacji fotela mus</w:t>
            </w:r>
            <w:r>
              <w:rPr>
                <w:rFonts w:cs="Calibri"/>
                <w:kern w:val="3"/>
                <w:sz w:val="20"/>
                <w:lang w:eastAsia="zh-CN" w:bidi="hi-IN"/>
              </w:rPr>
              <w:t>i umożliwić wykonanie medycznych czynności przy pacjencie oraz swobodny dostęp do schowków na lewej stronie przedziału medycznego. Przesuw i obrót fotela u wezgłowia noszy dostępny przez osobę siedzącą na fotelu w każdym momencie eksploatacji, również podc</w:t>
            </w:r>
            <w:r>
              <w:rPr>
                <w:rFonts w:cs="Calibri"/>
                <w:kern w:val="3"/>
                <w:sz w:val="20"/>
                <w:lang w:eastAsia="zh-CN" w:bidi="hi-IN"/>
              </w:rPr>
              <w:t>zas jazdy ambulansu, przy zapiętych bezwładnościowych  pasach bezpieczeństwa.</w:t>
            </w:r>
          </w:p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kern w:val="3"/>
                <w:sz w:val="20"/>
                <w:lang w:eastAsia="zh-CN" w:bidi="hi-IN"/>
              </w:rPr>
              <w:t>Częściowo przeszklona ścianka działowa oddzielająca kabinę kierowcy od przedziału medycznego, wyposażona w drzwi przesuwne z otwieranym oknem lub z oknem stałym z otwora</w:t>
            </w:r>
            <w:r>
              <w:rPr>
                <w:rFonts w:cs="Calibri"/>
                <w:kern w:val="3"/>
                <w:sz w:val="20"/>
                <w:lang w:eastAsia="zh-CN" w:bidi="hi-IN"/>
              </w:rPr>
              <w:t>mi, umożliwiające swobodne poruszanie się pomiędzy pomieszczeniem medycznym a kabiną kierowcy. Konstrukcja i działanie drzwi zgodne z wymogami normy PN EN 1789 lub równoważnej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Zabudowa meblowa umożliwiająca umieszczenie w niej sprzętu i wyposażenia</w:t>
            </w:r>
            <w:r>
              <w:rPr>
                <w:sz w:val="20"/>
              </w:rPr>
              <w:t xml:space="preserve"> wyszczególnionego w aktualnej normie PN EN 1789 lub równoważnej dla ambulansu typu C. Szuflady wyposażone w organizery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Na ścianie lewej szyna wraz z czterema panelami do mocowania uchwytów dla następującego sprzętu medycznego: defibrylatora, respi</w:t>
            </w:r>
            <w:r>
              <w:rPr>
                <w:sz w:val="20"/>
              </w:rPr>
              <w:t>ratora, pompy infuzyjnej, ładowarki akumulatorów defibrylatora. Panele mają mieć możliwość przesuwania wzdłuż osi pojazdu tj. możliwość rozmieszczenia w/w sprzętu medycznego wg uznania. Zamawiający nie dopuszcza mocowania na stałe uchwytów do w/w sprzętu m</w:t>
            </w:r>
            <w:r>
              <w:rPr>
                <w:sz w:val="20"/>
              </w:rPr>
              <w:t>edycznego bezpośrednio do ściany przedziału medycznego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kern w:val="3"/>
                <w:sz w:val="20"/>
                <w:lang w:eastAsia="zh-CN" w:bidi="hi-IN"/>
              </w:rPr>
              <w:t xml:space="preserve">Ogrzewacz płynów infuzyjnych z termostatem i możliwością płynnej regulacji temperatury na postoju i w czasie jazdy w zakresie 30-37 </w:t>
            </w:r>
            <w:r>
              <w:rPr>
                <w:rFonts w:eastAsia="Calibri" w:cs="Calibri"/>
                <w:kern w:val="3"/>
                <w:sz w:val="20"/>
                <w:lang w:eastAsia="zh-CN" w:bidi="hi-IN"/>
              </w:rPr>
              <w:t>ºC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 przedziale medycznym zamontowany panel sterujący</w:t>
            </w:r>
            <w:r>
              <w:rPr>
                <w:sz w:val="20"/>
              </w:rPr>
              <w:t xml:space="preserve"> spełniający min. następujące funkcje: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zegara i kalendarza,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sterowanie oświetleniem wewnętrznym przedziału medycznego,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sterowanie układem ogrzewania przedziału medycznego,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informujący o temperaturze przedziału medycznego,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 xml:space="preserve">- sterowanie układem </w:t>
            </w:r>
            <w:r>
              <w:rPr>
                <w:sz w:val="20"/>
              </w:rPr>
              <w:t>klimatyzacji i wentylacji przedziału medycznego,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>- możliwość sterowania oświetleniem zewnętrznym i wewnętrznym z paneli przy drzwiach wejściowych do przedziału medycznego,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panel sterujący z wyświetlaczem LED,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>- sterowanie pracą przetwornicy 230 V AC na o</w:t>
            </w:r>
            <w:r>
              <w:rPr>
                <w:sz w:val="20"/>
              </w:rPr>
              <w:t xml:space="preserve">ddzielnym oznaczonym przycisku obok panelu sterującego. 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>Świetlna sygnalizacja załączenia przetwornicy 230 V AC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>Panel przyciskowy/guzikowy nie typu touchscreen lub rezystencyjnego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ind w:left="113" w:hanging="113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ind w:left="113" w:hanging="113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Sufitowy uchwyt do kroplówek na min. 3 szt. pojemników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Zabezpieczenie wszystkich urządzeń oraz elementów wyposażenia przedziału medycznego przed przemieszczaniem się w czasie jazdy, gwarantujące jednocześnie łatwość dostępu i użycia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rPr>
                <w:rFonts w:cs="Calibri"/>
                <w:sz w:val="20"/>
                <w:lang w:eastAsia="ar-SA"/>
              </w:rPr>
            </w:pPr>
            <w:r>
              <w:rPr>
                <w:rFonts w:cs="Calibri"/>
                <w:sz w:val="20"/>
                <w:lang w:eastAsia="ar-SA"/>
              </w:rPr>
              <w:t>Centralna instalacja tlenowa:</w:t>
            </w:r>
          </w:p>
          <w:p w:rsidR="00F12310" w:rsidRDefault="008B5ECB">
            <w:pPr>
              <w:pStyle w:val="Textbody"/>
              <w:spacing w:before="57" w:after="57"/>
              <w:rPr>
                <w:rFonts w:cs="Calibri"/>
                <w:sz w:val="20"/>
                <w:lang w:eastAsia="ar-SA"/>
              </w:rPr>
            </w:pPr>
            <w:r>
              <w:rPr>
                <w:rFonts w:cs="Calibri"/>
                <w:sz w:val="20"/>
                <w:lang w:eastAsia="ar-SA"/>
              </w:rPr>
              <w:t xml:space="preserve">a) z zamontowanym na ścianie lewej </w:t>
            </w:r>
            <w:r>
              <w:rPr>
                <w:rFonts w:cs="Calibri"/>
                <w:sz w:val="20"/>
                <w:lang w:eastAsia="ar-SA"/>
              </w:rPr>
              <w:t>panelem z min. 2 punktami poboru typu AGA (oddzielne gniazda pojedyncze),</w:t>
            </w:r>
            <w:r>
              <w:rPr>
                <w:rFonts w:cs="Calibri"/>
                <w:sz w:val="20"/>
                <w:lang w:eastAsia="ar-SA"/>
              </w:rPr>
              <w:br/>
            </w:r>
            <w:r>
              <w:rPr>
                <w:rFonts w:cs="Calibri"/>
                <w:sz w:val="20"/>
                <w:lang w:eastAsia="ar-SA"/>
              </w:rPr>
              <w:t>b) sufitowy punkt poboru tlenu, z regulacją przepływu tlenu przez przepływomierz ścienny,</w:t>
            </w:r>
          </w:p>
          <w:p w:rsidR="00F12310" w:rsidRDefault="008B5ECB">
            <w:pPr>
              <w:pStyle w:val="Textbody"/>
              <w:spacing w:before="57" w:after="57"/>
              <w:rPr>
                <w:rFonts w:cs="Calibri"/>
                <w:sz w:val="20"/>
                <w:lang w:eastAsia="ar-SA"/>
              </w:rPr>
            </w:pPr>
            <w:r>
              <w:rPr>
                <w:rFonts w:cs="Calibri"/>
                <w:sz w:val="20"/>
                <w:lang w:eastAsia="ar-SA"/>
              </w:rPr>
              <w:t>c) mocowanie 2 szt. butli tlenowych o pojemności tlenu medycznego 8 litrów zewnętrznym schow</w:t>
            </w:r>
            <w:r>
              <w:rPr>
                <w:rFonts w:cs="Calibri"/>
                <w:sz w:val="20"/>
                <w:lang w:eastAsia="ar-SA"/>
              </w:rPr>
              <w:t>ku,</w:t>
            </w:r>
          </w:p>
          <w:p w:rsidR="00F12310" w:rsidRDefault="008B5ECB">
            <w:pPr>
              <w:pStyle w:val="Textbody"/>
              <w:spacing w:before="57" w:after="57"/>
              <w:rPr>
                <w:rFonts w:cs="Calibri"/>
                <w:sz w:val="20"/>
                <w:lang w:eastAsia="ar-SA"/>
              </w:rPr>
            </w:pPr>
            <w:r>
              <w:rPr>
                <w:rFonts w:cs="Calibri"/>
                <w:sz w:val="20"/>
                <w:lang w:eastAsia="ar-SA"/>
              </w:rPr>
              <w:t>d) instalacja tlenowa przystosowana do pracy przy ciśnieniu roboczym 150 atm.,</w:t>
            </w:r>
          </w:p>
          <w:p w:rsidR="00F12310" w:rsidRDefault="008B5ECB">
            <w:pPr>
              <w:pStyle w:val="Textbody"/>
              <w:spacing w:before="57" w:after="57"/>
              <w:ind w:left="227" w:hanging="227"/>
              <w:rPr>
                <w:rFonts w:cs="Calibri"/>
                <w:sz w:val="20"/>
                <w:lang w:eastAsia="ar-SA"/>
              </w:rPr>
            </w:pPr>
            <w:r>
              <w:rPr>
                <w:rFonts w:cs="Calibri"/>
                <w:sz w:val="20"/>
                <w:lang w:eastAsia="ar-SA"/>
              </w:rPr>
              <w:t>e) konstrukcja zapewniająca możliwość swobodnego dostępu z wnętrza ambulansu do zaworów butli tlenowych oraz obserwacji manometrów reduktorów tlenowych bez potrzeby zdejmowa</w:t>
            </w:r>
            <w:r>
              <w:rPr>
                <w:rFonts w:cs="Calibri"/>
                <w:sz w:val="20"/>
                <w:lang w:eastAsia="ar-SA"/>
              </w:rPr>
              <w:t>nia osłony,</w:t>
            </w:r>
          </w:p>
          <w:p w:rsidR="00F12310" w:rsidRDefault="008B5ECB">
            <w:pPr>
              <w:pStyle w:val="Textbody"/>
              <w:spacing w:before="57" w:after="57"/>
              <w:rPr>
                <w:rFonts w:cs="Calibri"/>
                <w:sz w:val="20"/>
                <w:lang w:eastAsia="ar-SA"/>
              </w:rPr>
            </w:pPr>
            <w:r>
              <w:rPr>
                <w:rFonts w:cs="Calibri"/>
                <w:sz w:val="20"/>
                <w:lang w:eastAsia="ar-SA"/>
              </w:rPr>
              <w:t>g) uchwyt małej butli tlenowej o pojemności tlenu medycznego 2 litry w zabudowie medycznej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ind w:left="227" w:hanging="227"/>
              <w:jc w:val="center"/>
            </w:pPr>
            <w: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ind w:left="227" w:hanging="227"/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Laweta (podstawa pod nosze główne) z napędem mechanicznym, posiadająca przesuw boczny min. 20 cm, możliwość pochyłu o min. 10 stopni do pozycji </w:t>
            </w:r>
            <w:r>
              <w:rPr>
                <w:rFonts w:cs="Calibri"/>
                <w:sz w:val="20"/>
                <w:lang w:eastAsia="ar-SA"/>
              </w:rPr>
              <w:t>Trendelenburga i Antytrendelenburga (pozycji drenażowej), z wysuwem na zewnątrz pojazdu umożliwiającym wjazd noszy na lawetę pod kątem nie większym jak 10 stopni (podać markę i model).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Wzmocniona podłoga umożliwiająca mocowanie ruchomej podstawy p</w:t>
            </w:r>
            <w:r>
              <w:rPr>
                <w:sz w:val="20"/>
              </w:rPr>
              <w:t>od nosze główne. W podłodze zintegrowane wzmocnienia pod lawetę i fotele. Podłoga o powierzchni przeciw-poślizgowej, łatwo zmywalnej, połączonej szczelnie z zabudową ścian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Kosze na śmieci i miejsca na pojemniki na materiał niebezpieczny w </w:t>
            </w:r>
            <w:r>
              <w:rPr>
                <w:sz w:val="20"/>
              </w:rPr>
              <w:t>zabudowie meblowej.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kern w:val="3"/>
                <w:sz w:val="20"/>
                <w:lang w:eastAsia="zh-CN" w:bidi="hi-IN"/>
              </w:rPr>
              <w:t>Dodatkowy uchwyt na pojemnik (wiaderko) zamontowany w przestrzeni pod ssakiem medycznym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Co najmniej 2 sufitowe punkty świetlne typu LED nad noszami, z regulacją kąta padania światła + oświetlenie punktowe typu LED blatu </w:t>
            </w:r>
            <w:r>
              <w:rPr>
                <w:sz w:val="20"/>
              </w:rPr>
              <w:t>roboczego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Automatyczne włączenie / wyłączenie oświetlenia (jednej sekcji) po otwarciu / zamknięciu drzwi przedziału pacjenta, możliwość włączania / wyłączania oświetlenia z paneli umieszczonych przy drzwiach wejściowych do przedziału medycznego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</w:t>
            </w:r>
            <w:r>
              <w:rPr>
                <w:sz w:val="20"/>
              </w:rPr>
              <w:t>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>Uchwyty ścienne i sufitowe dla personelu medycznego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Lodówka sprężarkowa do przechowywania leków i innych materiałów wymagających niskiej temperatury otoczenia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</w:rPr>
              <w:t>Uchwyt pod drukarkę</w:t>
            </w:r>
            <w:r>
              <w:rPr>
                <w:rFonts w:cs="Calibri"/>
                <w:color w:val="000000"/>
                <w:sz w:val="20"/>
              </w:rPr>
              <w:t xml:space="preserve">. Obok półki </w:t>
            </w:r>
            <w:r>
              <w:rPr>
                <w:rFonts w:cs="Calibri"/>
                <w:sz w:val="20"/>
              </w:rPr>
              <w:t xml:space="preserve">dodatkowe gniazda zasilania 12V DC </w:t>
            </w:r>
            <w:r>
              <w:rPr>
                <w:rFonts w:cs="Calibri"/>
                <w:sz w:val="20"/>
              </w:rPr>
              <w:t>z akumulatora medycznego oraz 230V AC zasilane z przetwornicy ambulansu. Dodatkowo w pobliżu drukarki zainstalowana przetwornica 12 V/230 V o mocy do 300 W dedykowana do zasilania drukarki.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sz w:val="20"/>
              </w:rPr>
            </w:pP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UWAGA – szczegóły dotyczące zabudowy oraz rozmieszczenia </w:t>
            </w:r>
            <w:r>
              <w:rPr>
                <w:sz w:val="20"/>
              </w:rPr>
              <w:t>sprzętu zostaną ustalone po podpisaniu umowy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X.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ŁĄCZNOŚĆ RADIOWA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Ambulans powinien być wyposażony w radiotelefon przewoźny wraz z dedykowaną instalacją.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Miejsce instalacji radiotelefonu powinno znajdować się w desce rozdzielczej ambulansu</w:t>
            </w:r>
            <w:r>
              <w:rPr>
                <w:sz w:val="20"/>
              </w:rPr>
              <w:t xml:space="preserve"> w miejscu nie ograniczającym widoczności kierowcy ambulansu. Nie dopuszcza się instalacji radiotelefonu nad głową kierowcy (górnej półce)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sz w:val="20"/>
              </w:rPr>
            </w:pPr>
          </w:p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fa-IR" w:bidi="fa-IR"/>
              </w:rPr>
              <w:t xml:space="preserve">Zamontowana na dachu ambulansu antena o charakterystyce pracy dookólnej, firmy RADMOR typu 30834/3,6 </w:t>
            </w:r>
            <w:r>
              <w:rPr>
                <w:rFonts w:cs="Calibri"/>
                <w:sz w:val="20"/>
                <w:lang w:eastAsia="fa-IR" w:bidi="fa-IR"/>
              </w:rPr>
              <w:t xml:space="preserve">(wykonanie 160-174 MHz) i impedancji wejściowej 50 </w:t>
            </w:r>
            <w:r>
              <w:rPr>
                <w:rFonts w:ascii="Liberation Serif" w:eastAsia="Calibri" w:hAnsi="Liberation Serif" w:cs="Calibri"/>
                <w:sz w:val="20"/>
                <w:lang w:eastAsia="fa-IR" w:bidi="fa-IR"/>
              </w:rPr>
              <w:t>Ω</w:t>
            </w:r>
            <w:r>
              <w:rPr>
                <w:rFonts w:cs="Calibri"/>
                <w:sz w:val="20"/>
                <w:lang w:eastAsia="fa-IR" w:bidi="fa-IR"/>
              </w:rPr>
              <w:t xml:space="preserve"> podłączona do radiotelefonu przewoźnego. </w:t>
            </w:r>
            <w:r>
              <w:rPr>
                <w:rFonts w:cs="Calibri"/>
                <w:sz w:val="20"/>
                <w:lang w:eastAsia="fa-IR" w:bidi="fa-IR"/>
              </w:rPr>
              <w:br/>
            </w:r>
            <w:r>
              <w:rPr>
                <w:rFonts w:cs="Calibri"/>
                <w:sz w:val="20"/>
                <w:lang w:eastAsia="fa-IR" w:bidi="fa-IR"/>
              </w:rPr>
              <w:t>Dostęp do głowicy anteny powinien być możliwy po demontażu lamp sufitowych przedziału medycznego lub innych elementów jego wyposażenia.  Pręt anteny powinien być</w:t>
            </w:r>
            <w:r>
              <w:rPr>
                <w:rFonts w:cs="Calibri"/>
                <w:sz w:val="20"/>
                <w:lang w:eastAsia="fa-IR" w:bidi="fa-IR"/>
              </w:rPr>
              <w:t xml:space="preserve"> wyposażony w sprężynę amortyzującą uderzenia z zainstalowaną fabrycznie zworą wewnątrz sprężyny. Nie dopuszcza się anten bez elementu amortyzującego pręt antenowy od uderzeń.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Uwaga: antenę do pasma pracy radiotelefonu dostraja Zamawiający (poprzez obcięci</w:t>
            </w:r>
            <w:r>
              <w:rPr>
                <w:sz w:val="20"/>
              </w:rPr>
              <w:t>e pręta anteny)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sz w:val="20"/>
              </w:rPr>
            </w:pPr>
          </w:p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bookmarkStart w:id="1" w:name="page60R_mcid152_kopia_1"/>
            <w:bookmarkEnd w:id="1"/>
            <w:r>
              <w:rPr>
                <w:sz w:val="20"/>
              </w:rPr>
              <w:t xml:space="preserve">Radiotelefon przewoźny cyfrowo-analogowy. Radiotelefon musi być w pełni kompatybilny z cyfrowym systemem radiowym MotoTRBO używanym przez Zamawiającego oraz współpracować z Motorola MotoTRBO DR3000 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 xml:space="preserve">i SLR5000 repeater, a w </w:t>
            </w:r>
            <w:r>
              <w:rPr>
                <w:sz w:val="20"/>
              </w:rPr>
              <w:t>szczególności posiadać nie gorsze parametry niż:</w:t>
            </w:r>
          </w:p>
          <w:p w:rsidR="00F12310" w:rsidRDefault="008B5ECB">
            <w:pPr>
              <w:pStyle w:val="Textbody"/>
              <w:spacing w:before="57" w:after="57"/>
              <w:ind w:left="170" w:hanging="170"/>
            </w:pPr>
            <w:r>
              <w:rPr>
                <w:kern w:val="3"/>
                <w:sz w:val="20"/>
                <w:lang w:eastAsia="zh-CN" w:bidi="hi-IN"/>
              </w:rPr>
              <w:t>- Radiotelefon przewoźny cyfrowo-analogowy z GPS (aktualne potwierdzenie zgodności lub ważne świadectwo homologacji - dopuszczenie do pracy na terenie RP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 xml:space="preserve">- najnowsza wersja oprogramowania (firmware) </w:t>
            </w:r>
            <w:r>
              <w:rPr>
                <w:sz w:val="20"/>
              </w:rPr>
              <w:t>radiotelefonu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Praca w standardach: cyfrowym ETSI TS 102 361, analogowym w trybach simpleks/duosimpleks,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Liczba kanałów pracy powyżej 250 z ilością minimum dwóch stref podziału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>- Wyświetlacz kolorowy z podświetlaniem w trybie dzień i noc umożliwiający w</w:t>
            </w:r>
            <w:r>
              <w:rPr>
                <w:sz w:val="20"/>
              </w:rPr>
              <w:t>izualizację odbieranych i wysyłanych wywołań oraz poziomu sygnału w trybie cyfrowym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Cztery programowalne przyciski funkcyjne na panelu przednim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Możliwość wysyłania i odbierania wiadomości tekstowych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>- Wizualna sygnalizacja (np. diodowa) stanów pracy ra</w:t>
            </w:r>
            <w:r>
              <w:rPr>
                <w:sz w:val="20"/>
              </w:rPr>
              <w:t>diotelefonu, w tym: wywołań, skaningu i stanów monitorowania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>- Wywołanie indywidualne, grupowe, alarmowe oraz okólnikowe (wszystkich) w trybie cyfrowym z identyfikacją na wyświetlaczu abonenta wywołującego i sygnalizacją akustyczną (z możliwością wyłączeni</w:t>
            </w:r>
            <w:r>
              <w:rPr>
                <w:sz w:val="20"/>
              </w:rPr>
              <w:t>a sygnalizacji akustycznej)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Programowalny adres IP radiotelefonu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Radiotelefon powinien posiadać poniższe funkcje sygnalizacji: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* zdalne sprawdzenie obecności radiotelefonu w sieci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* zdalny monitoring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* zdalne zablokowanie i odblokowanie radiotelefonu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</w:t>
            </w:r>
            <w:r>
              <w:rPr>
                <w:sz w:val="20"/>
              </w:rPr>
              <w:t xml:space="preserve"> Możliwość maskowania korespondencji w trybie cyfrowym (min. 16 kluczy kodowych)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>- Złącze akcesoryjne – umożliwia transmisję zgodną ze standardem USB, podłączenie dodatkowego głośnika i mikrofonu, przycisku nadawania, itp.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 xml:space="preserve">- Złącze akcesoryjne – umożliwia </w:t>
            </w:r>
            <w:r>
              <w:rPr>
                <w:sz w:val="20"/>
              </w:rPr>
              <w:t>transmisję zgodną ze standardem USB, podłączenie dodatkowego głośnika i mikrofonu, przycisku nadawania, itp.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Zabezpieczenie przepięciowe i przed odwrotnym podłączeniem biegunów zasilania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Gniazdo antenowe typu BNC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Wbudowany głośnik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Menu radiotelefon</w:t>
            </w:r>
            <w:r>
              <w:rPr>
                <w:sz w:val="20"/>
              </w:rPr>
              <w:t>u w języku polskim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Pasmo częstotliwości pracy 136 ÷174 MHz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Odstęp międzykanałowy: 12,5 kHz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>- Zasilanie stałoprądowe 13,2 V ±20% minus na masie z zabezpieczeniem przepięciowym i przed odwrotnym podłączeniem biegunów zasilania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Moc wyjściowa fali nośnej</w:t>
            </w:r>
            <w:r>
              <w:rPr>
                <w:sz w:val="20"/>
              </w:rPr>
              <w:t xml:space="preserve"> nadajnika programowana w całym zakresie częstotliwości od 1 W do 25W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>- Możliwość ustawienia dwóch poziomów mocy dla radiotelefonu (moc niska / moc wysoka w zakresie 1 – 25W) i ustawienie jednego z nich na dowolnym kanale,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 xml:space="preserve">- Radiotelefon musi posiadać </w:t>
            </w:r>
            <w:r>
              <w:rPr>
                <w:sz w:val="20"/>
              </w:rPr>
              <w:t>wbudowany moduł GPS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Możliwość zabezpieczenia parametrów konfiguracyjnych hasłem przed odczytem.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Radiotelefon musi posiadać oznaczenie CE, spełniać normę IP 54 lub równoważną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Radiotelefon przewoźny wyposażony w mikrofon z przyciskiem nadawania PTT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 xml:space="preserve">- </w:t>
            </w:r>
            <w:r>
              <w:rPr>
                <w:sz w:val="20"/>
              </w:rPr>
              <w:t>Urządzenie musi posiadać możliwość programowania poprzez kabel serwisowy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Wraz z radiotelefonem należy dostarczyć kabel serwisowy do programowania oraz oprogramowanie serwisowe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Zewnętrzna aktywna antena systemu GPS zainstalowana na dachu pojazdu i</w:t>
            </w:r>
            <w:r>
              <w:rPr>
                <w:sz w:val="20"/>
              </w:rPr>
              <w:t xml:space="preserve"> podłączona do radiotelefonu przewoźnego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sz w:val="20"/>
              </w:rPr>
            </w:pPr>
          </w:p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bookmarkStart w:id="2" w:name="page60R_mcid152_kopia_1_kopia_1"/>
            <w:bookmarkEnd w:id="2"/>
            <w:r>
              <w:rPr>
                <w:sz w:val="20"/>
              </w:rPr>
              <w:t>Radiotelefon noszony (przenośny) cyfrowo-analogowy. Radiotelefon musi być w pełni kompatybilny z cyfrowym systemem radiowym MotoTRBO używanym przez Zamawiającego oraz współpracować z Motorola MotoTRBO DR300</w:t>
            </w:r>
            <w:r>
              <w:rPr>
                <w:sz w:val="20"/>
              </w:rPr>
              <w:t>0 i SLR5000 repeater, a w szczególności posiadać nie gorsze parametry niż: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kern w:val="3"/>
                <w:sz w:val="20"/>
                <w:lang w:eastAsia="zh-CN" w:bidi="hi-IN"/>
              </w:rPr>
              <w:t>- Radiotelefon przenośny cyfrowo-analogowy z GPS (aktualne potwierdzenie zgodności lub ważne świadectwo homologacji - dopuszczenie do pracy na terenie RP,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 xml:space="preserve">- najnowsza wersja </w:t>
            </w:r>
            <w:r>
              <w:rPr>
                <w:sz w:val="20"/>
              </w:rPr>
              <w:t>oprogramowania (firmware) radiotelefonu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>- Praca w standardach: cyfrowym ETSI TS 102 361-1, -2, -3 DMR Tier II i DMR Tier III, analogowym w trybach simpleks/duosimpleks,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 Liczba kanałów pracy powyżej 250 z ilością minimum dwóch stref podziału,</w:t>
            </w:r>
          </w:p>
          <w:p w:rsidR="00F12310" w:rsidRDefault="008B5ECB">
            <w:pPr>
              <w:pStyle w:val="Textbody"/>
              <w:tabs>
                <w:tab w:val="left" w:pos="225"/>
              </w:tabs>
              <w:spacing w:before="57" w:after="57"/>
              <w:ind w:left="113" w:hanging="113"/>
            </w:pPr>
            <w:r>
              <w:rPr>
                <w:sz w:val="20"/>
              </w:rPr>
              <w:t>- Wyświetla</w:t>
            </w:r>
            <w:r>
              <w:rPr>
                <w:sz w:val="20"/>
              </w:rPr>
              <w:t>cz z podświetlaniem umożliwiający wizualizację odbieranych i wysyłanych wywołań oraz poziomu sygnału w trybie cyfrowym,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Przyciski funkcyjne na panelu przednim, zredukowana klawiatura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Możliwość wysyłania i odbierania wiadomości tekstowych,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>- Wizualna sy</w:t>
            </w:r>
            <w:r>
              <w:rPr>
                <w:sz w:val="20"/>
              </w:rPr>
              <w:t>gnalizacja (np. diodowa) stanów pracy radiotelefonu, w tym: wywołań, skaningu i stanów monitorowania,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>- Wywołanie indywidualne, grupowe, alarmowe w trybie cyfrowym z identyfikacją na wyświetlaczu korespondenta wywołującego i sygnalizacją akustyczną (z możl</w:t>
            </w:r>
            <w:r>
              <w:rPr>
                <w:sz w:val="20"/>
              </w:rPr>
              <w:t>iwością wyłączenia sygnalizacji akustycznej),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Programowalny adres IP radiotelefonu,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Radiotelefon powinien posiadać poniższe funkcje sygnalizacji: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* zdalne sprawdzenie obecności radiotelefonu w sieci,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* zdalny monitoring,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* zdalne zablokowanie i odbloko</w:t>
            </w:r>
            <w:r>
              <w:rPr>
                <w:sz w:val="20"/>
              </w:rPr>
              <w:t>wanie radiotelefonu,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Możliwość maskowania korespondencji w trybie cyfrowym (min. 16 kluczy kodowych),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>- Złącze akcesoryjne – umożliwia transmisję zgodną ze standardem USB, podłączenie dodatkowego głośnika i mikrofonu, przycisku nadawania, itp.,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Wbudowa</w:t>
            </w:r>
            <w:r>
              <w:rPr>
                <w:sz w:val="20"/>
              </w:rPr>
              <w:t>ny głośnik,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Menu radiotelefonu w języku polskim,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Pasmo częstotliwości pracy 136 ÷174 MHz,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Odstęp międzykanałowy: 12,5 kHz,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Czas pracy akumulatora w trybie cyfrowym/analogowym: 13,0 / 10,0 h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Akumulator Li-Ion IP68, wskazany do pracy w niskich temp</w:t>
            </w:r>
            <w:r>
              <w:rPr>
                <w:sz w:val="20"/>
              </w:rPr>
              <w:t>eraturach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Ładowarka sieciowa radiotelefonu zgodna z zastosowanym akumulatorem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Ładowarka samochodowa w zabudowie samochodu, złącze zasilania przez wtyczkę zapalniczki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 xml:space="preserve">- Moc wyjściowa fali nośnej nadajnika programowana w całym zakresie częstotliwości od </w:t>
            </w:r>
            <w:r>
              <w:rPr>
                <w:sz w:val="20"/>
              </w:rPr>
              <w:t>1 W do 5W,</w:t>
            </w:r>
          </w:p>
          <w:p w:rsidR="00F12310" w:rsidRDefault="008B5ECB">
            <w:pPr>
              <w:pStyle w:val="Textbody"/>
              <w:spacing w:before="57" w:after="57"/>
              <w:ind w:left="113" w:hanging="113"/>
            </w:pPr>
            <w:r>
              <w:rPr>
                <w:sz w:val="20"/>
              </w:rPr>
              <w:t>- Możliwość ustawienia dwóch poziomów mocy dla radiotelefonu (moc niska / moc wysoka w zakresie 1 – 5W) i ustawienie jednego z nich na dowolnym kanale,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Radiotelefon musi posiadać wbudowany moduł GPS,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Możliwość zabezpieczenia parametrów konfi</w:t>
            </w:r>
            <w:r>
              <w:rPr>
                <w:sz w:val="20"/>
              </w:rPr>
              <w:t>guracyjnych hasłem przed odczytem.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Radiotelefon musi posiadać oznaczenie CE, spełniać normę IP 54 lub równoważną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- Urządzenie musi posiadać możliwość programowania poprzez kabel serwisowy.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- Wraz z radiotelefonem należy dostarczyć kabel serwisowy do prog</w:t>
            </w:r>
            <w:r>
              <w:rPr>
                <w:sz w:val="20"/>
              </w:rPr>
              <w:t>ramowania oraz oprogramowanie serwisowe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Do radiotelefonu noszonego powinna być zainstalowana ładowarka akumulatorów radiotelefonu. Miejsce instalacji ładowarki powinno  znajdować się w kabinie kierowcy, na ścianie oddzielającej przedział medyczny, </w:t>
            </w:r>
            <w:r>
              <w:rPr>
                <w:sz w:val="20"/>
              </w:rPr>
              <w:t>w miejscu zapewniającym bezpieczeństwo kierowcy ambulansu oraz łatwą obsługę radiotelefonu. Ładowarka powinna być zasilana z instalacji 12 V ambulansu. Nie dopuszcza się instalacji gniazda zasilania 12 V ładowarki radiotelefonu w podstawach foteli kierowcy</w:t>
            </w:r>
            <w:r>
              <w:rPr>
                <w:sz w:val="20"/>
              </w:rPr>
              <w:t xml:space="preserve"> i pasażera.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Pojazd wyposażony w uchwyty do bezpiecznego przewożenia urządzeń systemu SWD PRM tj. w ofercie należy uwzględnić stację dokującą do tabletu Zebra z portami USB bez gniazd antenowych .</w:t>
            </w:r>
          </w:p>
          <w:p w:rsidR="00F12310" w:rsidRDefault="008B5ECB">
            <w:pPr>
              <w:pStyle w:val="Textbody"/>
            </w:pPr>
            <w:r>
              <w:rPr>
                <w:sz w:val="20"/>
              </w:rPr>
              <w:t>Stacja dokująca i uchwyt drukarki mają być połączone d</w:t>
            </w:r>
            <w:r>
              <w:rPr>
                <w:sz w:val="20"/>
              </w:rPr>
              <w:t>woma kablami USB, który w razie awarii powinien być łatwo dostępny do wymiany.</w:t>
            </w:r>
          </w:p>
          <w:p w:rsidR="00F12310" w:rsidRDefault="008B5ECB">
            <w:pPr>
              <w:pStyle w:val="Textbody"/>
            </w:pPr>
            <w:r>
              <w:rPr>
                <w:rFonts w:cs="Calibri"/>
                <w:kern w:val="3"/>
                <w:sz w:val="20"/>
                <w:lang w:eastAsia="zh-CN" w:bidi="hi-IN"/>
              </w:rPr>
              <w:t xml:space="preserve">Zamawiający wymaga by stacja dokująca do tabletu oraz </w:t>
            </w:r>
            <w:r>
              <w:rPr>
                <w:rFonts w:cs="Calibri"/>
                <w:color w:val="000000"/>
                <w:kern w:val="3"/>
                <w:sz w:val="20"/>
                <w:lang w:eastAsia="zh-CN" w:bidi="hi-IN"/>
              </w:rPr>
              <w:t xml:space="preserve">podstawa drukarki </w:t>
            </w:r>
            <w:r>
              <w:rPr>
                <w:rFonts w:cs="Calibri"/>
                <w:kern w:val="3"/>
                <w:sz w:val="20"/>
                <w:lang w:eastAsia="zh-CN" w:bidi="hi-IN"/>
              </w:rPr>
              <w:t>były zamontowane w sposób zapewniający bezpieczeństwo załogi oraz transportowanego pacjenta.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kern w:val="3"/>
                <w:sz w:val="20"/>
                <w:lang w:eastAsia="zh-CN" w:bidi="hi-IN"/>
              </w:rPr>
              <w:t xml:space="preserve">Pojazd </w:t>
            </w:r>
            <w:r>
              <w:rPr>
                <w:rFonts w:cs="Calibri"/>
                <w:kern w:val="3"/>
                <w:sz w:val="20"/>
                <w:lang w:eastAsia="zh-CN" w:bidi="hi-IN"/>
              </w:rPr>
              <w:t>wyposażony w instalację elektryczną przygotowaną do zamontowania urządzeń systemu SWD PRM, Zamawiający wymaga by zasilanie w przypadku stacji dokującej było zabezpieczone i stałe (zintegrowane z instalacją elektryczną pojazdu z osobnym bezpiecznikiem), dla</w:t>
            </w:r>
            <w:r>
              <w:rPr>
                <w:rFonts w:cs="Calibri"/>
                <w:kern w:val="3"/>
                <w:sz w:val="20"/>
                <w:lang w:eastAsia="zh-CN" w:bidi="hi-IN"/>
              </w:rPr>
              <w:t xml:space="preserve"> drukarki gniazdo 230V zasilane z </w:t>
            </w:r>
            <w:r>
              <w:rPr>
                <w:rFonts w:cs="Calibri"/>
                <w:bCs/>
                <w:kern w:val="3"/>
                <w:sz w:val="20"/>
                <w:lang w:eastAsia="zh-CN" w:bidi="hi-IN"/>
              </w:rPr>
              <w:t>przetwornicy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Drukarka HP200 lub równoważna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Więcej szczegółów dotyczących wykorzystywanego sprzętu po rozstrzygnięciu postępowania i podpisaniu umowy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XI.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DODATKOWE WYPOSAŻENIE POJAZDU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sz w:val="20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Komplet (4 </w:t>
            </w:r>
            <w:r>
              <w:rPr>
                <w:sz w:val="20"/>
              </w:rPr>
              <w:t>szt.) oryginalnych chlapaczy kół (przód oraz tył)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Dodatkowa gaśnica min. 1 kg środka gaśniczego wraz z uchwytem mocującym, zamontowana  w przedziale medycznym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fa-IR" w:bidi="fa-IR"/>
              </w:rPr>
              <w:t xml:space="preserve">Urządzenie do wybijania szyb i do cięcia pasów w przedziale medycznym i kabinie </w:t>
            </w:r>
            <w:r>
              <w:rPr>
                <w:rFonts w:cs="Calibri"/>
                <w:sz w:val="20"/>
                <w:lang w:eastAsia="fa-IR" w:bidi="fa-IR"/>
              </w:rPr>
              <w:t xml:space="preserve">kierowcy. </w:t>
            </w:r>
            <w:r>
              <w:rPr>
                <w:rFonts w:cs="Calibri"/>
                <w:b/>
                <w:bCs/>
                <w:kern w:val="3"/>
                <w:sz w:val="20"/>
                <w:lang w:eastAsia="fa-IR" w:bidi="fa-IR"/>
              </w:rPr>
              <w:t>Uwaga</w:t>
            </w:r>
            <w:r>
              <w:rPr>
                <w:rFonts w:cs="Calibri"/>
                <w:kern w:val="3"/>
                <w:sz w:val="20"/>
                <w:lang w:eastAsia="fa-IR" w:bidi="fa-IR"/>
              </w:rPr>
              <w:t>: n</w:t>
            </w:r>
            <w:r>
              <w:rPr>
                <w:kern w:val="3"/>
                <w:sz w:val="20"/>
              </w:rPr>
              <w:t>óż  i młotek nie powinny być zamocowane tuż przy fotelu bocznym – możliwość niekontrolowanego użycia przez pacjenta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W kabinie kierowcy przenośny szperacz akumulatorowo sieciowy z możliwością ładowania w ambulansie wyposażony w </w:t>
            </w:r>
            <w:r>
              <w:rPr>
                <w:sz w:val="20"/>
              </w:rPr>
              <w:t>światło LED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fa-IR" w:bidi="fa-IR"/>
              </w:rPr>
              <w:t xml:space="preserve">Trójkąt ostrzegawczy, komplet kluczy do zmiany kół, </w:t>
            </w:r>
            <w:r>
              <w:rPr>
                <w:rFonts w:cs="Calibri"/>
                <w:color w:val="000000"/>
                <w:sz w:val="20"/>
                <w:lang w:eastAsia="fa-IR" w:bidi="fa-IR"/>
              </w:rPr>
              <w:t>2 x pacho</w:t>
            </w:r>
            <w:r>
              <w:rPr>
                <w:color w:val="000000"/>
                <w:sz w:val="20"/>
              </w:rPr>
              <w:t>łek rozkładany do zabezpieczenia miejsca prowadzenia akcji, łopata, saperka składana</w:t>
            </w:r>
            <w:r>
              <w:rPr>
                <w:sz w:val="20"/>
              </w:rPr>
              <w:t>, łańcuchy śniegowe na koła, łom, pokrowce na siedzenia w kabinie kierowcy, 2 x kamizelka o</w:t>
            </w:r>
            <w:r>
              <w:rPr>
                <w:sz w:val="20"/>
              </w:rPr>
              <w:t>dblaskowa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Komplet dywaników gumowych w kabinie kierowcy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Zbiornik paliwa w ambulansie przy odbiorze ma być napełniony powyżej stanu ,,rezerwy”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fa-IR" w:bidi="fa-IR"/>
              </w:rPr>
              <w:t xml:space="preserve">Zamontowany w przedziale medycznym na płycie montażowej uchwyt do pompy infuzyjnej zgodny </w:t>
            </w:r>
            <w:r>
              <w:rPr>
                <w:rFonts w:cs="Calibri"/>
                <w:sz w:val="20"/>
                <w:lang w:eastAsia="fa-IR" w:bidi="fa-IR"/>
              </w:rPr>
              <w:t>z PN EN 1789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119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Zestaw 4 szt. kół wraz z oponami zimowymi.</w:t>
            </w:r>
            <w:r>
              <w:rPr>
                <w:sz w:val="20"/>
                <w:shd w:val="clear" w:color="auto" w:fill="FFBF00"/>
              </w:rPr>
              <w:br/>
            </w:r>
            <w:r>
              <w:rPr>
                <w:sz w:val="20"/>
              </w:rPr>
              <w:t>Jeżeli ambulans fabrycznie będzie wyposażony w opony letnie to dodatkowo Wykonawca dostarczy koła zimowe. Jeżeli będzie wyposażony w koła zimowe, Wykonawca dostarczy koła letnie z oponami.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Wideorejestrator umożliwiający nagrywanie obrazu z kamery przedniej (minimalna rozdzielczość FULL HD) 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 xml:space="preserve">oraz tylnej, z gwarantowanym zapisem dobrej jakości w trybie nocnym oraz zapisem w trybie parkingowym (podtrzymanie napięcia przez wbudowany </w:t>
            </w:r>
            <w:r>
              <w:rPr>
                <w:sz w:val="20"/>
              </w:rPr>
              <w:t xml:space="preserve">akumulator) z dostarczoną kartą pamięci o wymaganych minimalnych parametrach technicznych: 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 xml:space="preserve">karta micro SDXC 256 GB 190/130 MB/s (odczyt/zapis) minimalna klasa VSC V30 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>Wideorejestrator powinien być podłączony do gniazda zasilania umieszczonego w miejscu n</w:t>
            </w:r>
            <w:r>
              <w:rPr>
                <w:sz w:val="20"/>
              </w:rPr>
              <w:t>iewidocznym i w taki sposób aby uruchamiał zapis podstawowy (inny niż tryb parkingowy) dopiero w momencie przekręcenia kluczyka w stacyjce pojazdu.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Fabryczne czujniki cofania z sygnalizacją dźwiękową i wizualizacją na desce rozdzielczej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Elektroniczny odstraszacz  kun i gryzoni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XII.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TRANSPORTER NOSZY GŁÓWNYCH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sz w:val="20"/>
                <w:szCs w:val="20"/>
              </w:rPr>
              <w:t>Wyposażony w system niezależnego składania podwozia (goleni przednich i tylnych, umożliwiający bezpieczny załadunek i rozładunek do/z ambulansu noszy z pacjentem nawet przez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jedną osobę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sz w:val="20"/>
                <w:szCs w:val="20"/>
              </w:rPr>
              <w:t>Z systemem szybkiego i bezpiecznego połączenia z noszami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sz w:val="20"/>
                <w:szCs w:val="20"/>
              </w:rPr>
              <w:t>Z regulacją wysokości w min. sześciu poziomach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sz w:val="20"/>
                <w:szCs w:val="20"/>
              </w:rPr>
              <w:t>Z możliwością zapięcia noszy na transporterze przodem lub tyłem do kierunku jazdy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Z możliwością ustawienia </w:t>
            </w:r>
            <w:r>
              <w:rPr>
                <w:rFonts w:ascii="Times New Roman" w:hAnsi="Times New Roman"/>
                <w:sz w:val="20"/>
                <w:szCs w:val="20"/>
              </w:rPr>
              <w:t>pozycji drenażowych (Trendelenburga i Fowlera na min 3 poziomach pochylenia)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sz w:val="20"/>
                <w:szCs w:val="20"/>
              </w:rPr>
              <w:t>Wyposażony w min. 4 kółka obrotowe w zakresie 360 stopni, min. 2 kółka wyposażone w hamulce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Wszystkie kółka jezdne skrętne o średnicy min. 160 mm i szerokości min.</w:t>
            </w:r>
            <w:r>
              <w:rPr>
                <w:sz w:val="20"/>
              </w:rPr>
              <w:t xml:space="preserve"> 50 mm., umożliwiające prowadzenie transportera bokiem do kierunku jazdy na wprost.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Kółka mają umożliwiać jazdę zarówno w pomieszczeniach zamkniętych, jak i poza nimi (na otwartych przestrzeniach)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Blokada kółek do jazdy na wprost </w:t>
            </w:r>
            <w:r>
              <w:rPr>
                <w:sz w:val="20"/>
              </w:rPr>
              <w:t>uruchamiana przez operatora w momencie, w którym jest to wymagane i potrzebne, uniemożliwiająca przypadkowe zablokowanie do jazdy na wprost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sz w:val="20"/>
                <w:szCs w:val="20"/>
              </w:rPr>
              <w:t>Obciążenie dopuszczalne transportera min. 275 kg (podać dopuszczalne obciążenie w kg);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Waga </w:t>
            </w:r>
            <w:r>
              <w:rPr>
                <w:rFonts w:ascii="Times New Roman" w:hAnsi="Times New Roman"/>
                <w:sz w:val="20"/>
                <w:szCs w:val="20"/>
              </w:rPr>
              <w:t>transportera max. 28 kg (podać wagę transportera w kg)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sz w:val="20"/>
                <w:szCs w:val="20"/>
              </w:rPr>
              <w:t>Transporter musi posiadać trwałe oznakowanie elementów związanych z ich obsługą, najlepiej graficznie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Transporter musi być zabezpieczony przed korozją poprzez wykonanie z </w:t>
            </w:r>
            <w:r>
              <w:rPr>
                <w:rFonts w:ascii="Times New Roman" w:hAnsi="Times New Roman"/>
                <w:sz w:val="20"/>
                <w:szCs w:val="20"/>
              </w:rPr>
              <w:t>odpowiedniego materiału lub poprzez zabezpieczenie środkami antykorozyjnymi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sz w:val="20"/>
                <w:szCs w:val="20"/>
              </w:rPr>
              <w:t>System mocowania transportera do lawety ambulansu musi być zgodny z wymogami normy PN-EN 1789 lub równoważnej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Deklaracja zgodności CE z normą PN-EN 1789 i PN-EN </w:t>
            </w:r>
            <w:r>
              <w:rPr>
                <w:rFonts w:ascii="Times New Roman" w:hAnsi="Times New Roman"/>
                <w:sz w:val="20"/>
                <w:szCs w:val="20"/>
              </w:rPr>
              <w:t>1865 lub równoważną transportera noszy głównych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Certyfikat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zgodności z normą PN-EN 1789 oraz PN-EN 1865 lub równoważną na oferowany system transportowy (nosze i transporter)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dostarczyć wymagane dokumenty wraz z urządzeniem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Podać markę i model </w:t>
            </w:r>
            <w:r>
              <w:rPr>
                <w:rFonts w:ascii="Times New Roman" w:hAnsi="Times New Roman"/>
                <w:sz w:val="20"/>
                <w:szCs w:val="20"/>
              </w:rPr>
              <w:t>transportera noszy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Standard"/>
              <w:tabs>
                <w:tab w:val="left" w:pos="713"/>
                <w:tab w:val="left" w:pos="2201"/>
              </w:tabs>
              <w:ind w:left="74" w:right="13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XIII.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NOSZE GŁÓWNE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639"/>
                <w:tab w:val="left" w:pos="2127"/>
              </w:tabs>
              <w:ind w:right="130"/>
            </w:pPr>
            <w:r>
              <w:rPr>
                <w:rFonts w:ascii="Times New Roman" w:hAnsi="Times New Roman"/>
                <w:sz w:val="20"/>
                <w:szCs w:val="20"/>
              </w:rPr>
              <w:t>Przystosowane do prowadzenia reanimacji, wyposażone w twardą płytę na całej długości pod materacem umożliwiającą ustawienie wszystkich dostępnych funkcji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639"/>
                <w:tab w:val="left" w:pos="2127"/>
              </w:tabs>
              <w:ind w:right="13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Nosze potrójnie łamane z możliwością </w:t>
            </w:r>
            <w:r>
              <w:rPr>
                <w:rFonts w:ascii="Times New Roman" w:hAnsi="Times New Roman"/>
                <w:sz w:val="20"/>
                <w:szCs w:val="20"/>
              </w:rPr>
              <w:t>ustawienia pozycji przeciwwstrząsowej i pozycji zmniejszającej napięcie mięśni brzucha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639"/>
                <w:tab w:val="left" w:pos="2127"/>
              </w:tabs>
              <w:ind w:right="130"/>
            </w:pPr>
            <w:r>
              <w:rPr>
                <w:rFonts w:ascii="Times New Roman" w:hAnsi="Times New Roman"/>
                <w:sz w:val="20"/>
                <w:szCs w:val="20"/>
              </w:rPr>
              <w:t>Z możliwością płynnej regulacji kąta nachylenia oparcia pod plecami do min. 80 stopni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639"/>
                <w:tab w:val="left" w:pos="2127"/>
              </w:tabs>
              <w:ind w:right="130"/>
            </w:pPr>
            <w:r>
              <w:rPr>
                <w:rFonts w:ascii="Times New Roman" w:hAnsi="Times New Roman"/>
                <w:sz w:val="20"/>
                <w:szCs w:val="20"/>
              </w:rPr>
              <w:t>Rama noszy pod głową pacjenta umożliwiająca odgięcie głowy do tyłu,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przygięcie głowy do klatki piersiowej, ułożenie na wznak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639"/>
                <w:tab w:val="left" w:pos="2127"/>
              </w:tabs>
              <w:ind w:right="130"/>
            </w:pPr>
            <w:r>
              <w:rPr>
                <w:rFonts w:ascii="Times New Roman" w:hAnsi="Times New Roman"/>
                <w:sz w:val="20"/>
                <w:szCs w:val="20"/>
              </w:rPr>
              <w:t>Z zestawem pasów zabezpieczających pacjenta o regulowanej długości mocowanych bezpośrednio do ramy noszy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639"/>
                <w:tab w:val="left" w:pos="2127"/>
              </w:tabs>
              <w:ind w:right="13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Z dodatkowym zestawem pasów lub uprzęży służącej do transportu małych dzieci </w:t>
            </w:r>
            <w:r>
              <w:rPr>
                <w:rFonts w:ascii="Times New Roman" w:hAnsi="Times New Roman"/>
                <w:sz w:val="20"/>
                <w:szCs w:val="20"/>
              </w:rPr>
              <w:t>na noszach w pozycji siedzącej lub leżącej.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639"/>
                <w:tab w:val="left" w:pos="2127"/>
              </w:tabs>
              <w:ind w:right="130"/>
            </w:pPr>
            <w:r>
              <w:rPr>
                <w:rFonts w:ascii="Times New Roman" w:hAnsi="Times New Roman"/>
                <w:sz w:val="20"/>
                <w:szCs w:val="20"/>
              </w:rPr>
              <w:t>Nosze muszą posiadać trwałe oznakowanie elementów związanych z ich obsługą, najlepiej graficznie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639"/>
                <w:tab w:val="left" w:pos="2127"/>
              </w:tabs>
              <w:ind w:right="13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Ze składanymi poręczami bocznymi, z chowanymi rączkami do przenoszenia umieszczonymi z przodu i </w:t>
            </w:r>
            <w:r>
              <w:rPr>
                <w:rFonts w:ascii="Times New Roman" w:hAnsi="Times New Roman"/>
                <w:sz w:val="20"/>
                <w:szCs w:val="20"/>
              </w:rPr>
              <w:t>tyłu noszy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Z możliwością wprowadzania noszy na transporter przodem lub tyłem do kierunku jazdy.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Wykonane z materiału odpornego na korozją lub innego odpowiedniego materiału i zabezpieczone środkami antykorozyjnymi.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639"/>
                <w:tab w:val="left" w:pos="2127"/>
              </w:tabs>
              <w:ind w:right="13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Z cienkim </w:t>
            </w:r>
            <w:r>
              <w:rPr>
                <w:rFonts w:ascii="Times New Roman" w:hAnsi="Times New Roman"/>
                <w:sz w:val="20"/>
                <w:szCs w:val="20"/>
              </w:rPr>
              <w:t>niesprężynującym materacem z tworzywa sztucznego nieabsorbującym krwi, brudu, wydzielin, przystosowanym do dezynfekcji, umożliwiającym ustawienie wszystkich dostępnych pozycji transportowych.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639"/>
                <w:tab w:val="left" w:pos="2127"/>
              </w:tabs>
              <w:ind w:right="13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Dopuszczalne obciążenie min. 250 kg (podać obciążenie </w:t>
            </w:r>
            <w:r>
              <w:rPr>
                <w:rFonts w:ascii="Times New Roman" w:hAnsi="Times New Roman"/>
                <w:sz w:val="20"/>
                <w:szCs w:val="20"/>
              </w:rPr>
              <w:t>dopuszczalne w kg)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Standard"/>
              <w:tabs>
                <w:tab w:val="left" w:pos="639"/>
                <w:tab w:val="left" w:pos="2127"/>
              </w:tabs>
              <w:ind w:right="130"/>
            </w:pPr>
            <w:r>
              <w:rPr>
                <w:rFonts w:ascii="Times New Roman" w:hAnsi="Times New Roman"/>
                <w:sz w:val="20"/>
                <w:szCs w:val="20"/>
              </w:rPr>
              <w:t>Waga noszy max. 23 kg (podać wagę noszy w kg)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Podać markę i model noszy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XIV.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KRZESEŁKO TRANSPORTOWE Z SYSTEMEM PŁOZOWYM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Wykonane z wytrzymałego materiału odpornego na korozję i na działanie płynów </w:t>
            </w:r>
            <w:r>
              <w:rPr>
                <w:sz w:val="20"/>
              </w:rPr>
              <w:t>dezynfekujących.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Waga max 15 kg. Lekka konstrukcja.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Wyposażone w rozkładany system płozowy ułatwiający transport pacjenta po schodach.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Wyposażone  w górny uchwyt sterujący.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Wyposażone w demontowane siedzisko.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Siedzisko i oparcie wykonane z mocnego  miękkiego winylu, odpornego na bakterie, grzyby, zmywalnego i umożliwiającego dezynfekcję.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Składane, z blokadą przypadkowego złożenia w trakcie transportu.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Wyposażone w 4 kółka transportowe. Duże </w:t>
            </w:r>
            <w:r>
              <w:rPr>
                <w:sz w:val="20"/>
              </w:rPr>
              <w:t>tylne koła umożliwiające poruszanie się w trudnym terenie.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2 przednie koła obrotowe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Średnica tylnych kółek min 160 mm.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Głębokość po złożeniu max. 22 cm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 Pasy bezpieczeństwa umożliwiające szybkie ich rozpięcie.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Wysokość górnej ramy oparcia w rozłożonym krzesełku mierzona od podłogi - min. 1130 mm, max. 1560 mm. - zapewniająca komfort dla pacjenta.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Dopuszczalne obciążenie minimum 170 kg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Deklaracja zgodności (lub certyfikat CE) oraz wpis do </w:t>
            </w:r>
            <w:r>
              <w:rPr>
                <w:sz w:val="20"/>
              </w:rPr>
              <w:t>rejestru wyrobów medycznych – przedmiotowe dokumenty dostarczyć wraz z dostawą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Podać markę i model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XV.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SSAK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  <w:szCs w:val="16"/>
              </w:rPr>
              <w:t>Podać</w:t>
            </w:r>
            <w:r>
              <w:rPr>
                <w:spacing w:val="-4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markę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 xml:space="preserve">i </w:t>
            </w:r>
            <w:r>
              <w:rPr>
                <w:spacing w:val="-2"/>
                <w:sz w:val="20"/>
                <w:szCs w:val="16"/>
              </w:rPr>
              <w:t>model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pacing w:val="-2"/>
                <w:sz w:val="20"/>
                <w:szCs w:val="16"/>
              </w:rPr>
              <w:t>akumulatorowo-sieciowy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ableParagraph"/>
              <w:ind w:left="122"/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z</w:t>
            </w:r>
            <w:r>
              <w:rPr>
                <w:rFonts w:ascii="Times New Roman" w:hAnsi="Times New Roman" w:cs="Times New Roman"/>
                <w:spacing w:val="-9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wbudowanym</w:t>
            </w:r>
            <w:r>
              <w:rPr>
                <w:rFonts w:ascii="Times New Roman" w:hAnsi="Times New Roman" w:cs="Times New Roman"/>
                <w:spacing w:val="-10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akumulatorem</w:t>
            </w:r>
            <w:r>
              <w:rPr>
                <w:rFonts w:ascii="Times New Roman" w:hAnsi="Times New Roman" w:cs="Times New Roman"/>
                <w:spacing w:val="-10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z</w:t>
            </w:r>
            <w:r>
              <w:rPr>
                <w:rFonts w:ascii="Times New Roman" w:hAnsi="Times New Roman" w:cs="Times New Roman"/>
                <w:spacing w:val="-8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możliwością pracy w ambulansie i poza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spacing w:val="-4"/>
                <w:sz w:val="20"/>
                <w:szCs w:val="16"/>
              </w:rPr>
              <w:t>nim,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ableParagraph"/>
              <w:spacing w:line="228" w:lineRule="auto"/>
              <w:ind w:left="122" w:right="411"/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z</w:t>
            </w:r>
            <w:r>
              <w:rPr>
                <w:rFonts w:ascii="Times New Roman" w:hAnsi="Times New Roman" w:cs="Times New Roman"/>
                <w:spacing w:val="-10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możliwością</w:t>
            </w:r>
            <w:r>
              <w:rPr>
                <w:rFonts w:ascii="Times New Roman" w:hAnsi="Times New Roman" w:cs="Times New Roman"/>
                <w:spacing w:val="-11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ładowania</w:t>
            </w:r>
            <w:r>
              <w:rPr>
                <w:rFonts w:ascii="Times New Roman" w:hAnsi="Times New Roman" w:cs="Times New Roman"/>
                <w:spacing w:val="-10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akumulatora</w:t>
            </w:r>
            <w:r>
              <w:rPr>
                <w:rFonts w:ascii="Times New Roman" w:hAnsi="Times New Roman" w:cs="Times New Roman"/>
                <w:spacing w:val="-14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i pracy ssaka z zasilania 12 V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  <w:szCs w:val="16"/>
              </w:rPr>
              <w:t>ambulansu,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(w</w:t>
            </w:r>
            <w:r>
              <w:rPr>
                <w:spacing w:val="-2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opcji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 xml:space="preserve">z sieci </w:t>
            </w:r>
            <w:r>
              <w:rPr>
                <w:spacing w:val="-2"/>
                <w:sz w:val="20"/>
                <w:szCs w:val="16"/>
              </w:rPr>
              <w:t>230V)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  <w:szCs w:val="16"/>
              </w:rPr>
              <w:t>słój o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pojemności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min.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1</w:t>
            </w:r>
            <w:r>
              <w:rPr>
                <w:spacing w:val="-5"/>
                <w:sz w:val="20"/>
                <w:szCs w:val="16"/>
              </w:rPr>
              <w:t xml:space="preserve"> </w:t>
            </w:r>
            <w:r>
              <w:rPr>
                <w:spacing w:val="-10"/>
                <w:sz w:val="20"/>
                <w:szCs w:val="16"/>
              </w:rPr>
              <w:t>L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ableParagraph"/>
              <w:spacing w:line="262" w:lineRule="exact"/>
              <w:ind w:left="107"/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wbudowany</w:t>
            </w:r>
            <w:r>
              <w:rPr>
                <w:rFonts w:ascii="Times New Roman" w:hAnsi="Times New Roman" w:cs="Times New Roman"/>
                <w:spacing w:val="-6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manometr obrazujący</w:t>
            </w:r>
            <w:r>
              <w:rPr>
                <w:rFonts w:ascii="Times New Roman" w:hAnsi="Times New Roman" w:cs="Times New Roman"/>
                <w:spacing w:val="-4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aktualną</w:t>
            </w:r>
            <w:r>
              <w:rPr>
                <w:rFonts w:ascii="Times New Roman" w:hAnsi="Times New Roman" w:cs="Times New Roman"/>
                <w:spacing w:val="-1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16"/>
              </w:rPr>
              <w:t>siłę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  <w:szCs w:val="16"/>
              </w:rPr>
              <w:t>ssania</w:t>
            </w:r>
            <w:r>
              <w:rPr>
                <w:spacing w:val="-6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,</w:t>
            </w:r>
            <w:r>
              <w:rPr>
                <w:spacing w:val="-5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płynna</w:t>
            </w:r>
            <w:r>
              <w:rPr>
                <w:spacing w:val="-6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regulacja</w:t>
            </w:r>
            <w:r>
              <w:rPr>
                <w:spacing w:val="-2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siły</w:t>
            </w:r>
            <w:r>
              <w:rPr>
                <w:spacing w:val="-1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ssania</w:t>
            </w:r>
            <w:r>
              <w:rPr>
                <w:spacing w:val="-5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w</w:t>
            </w:r>
            <w:r>
              <w:rPr>
                <w:spacing w:val="-6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 xml:space="preserve">zakresie od 0 do </w:t>
            </w:r>
            <w:r>
              <w:rPr>
                <w:sz w:val="20"/>
                <w:szCs w:val="16"/>
              </w:rPr>
              <w:t>-0,8 bar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  <w:szCs w:val="16"/>
              </w:rPr>
              <w:t>przepływ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min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26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l/min.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+/-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pacing w:val="-5"/>
                <w:sz w:val="20"/>
                <w:szCs w:val="16"/>
              </w:rPr>
              <w:t>4L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ableParagraph"/>
              <w:spacing w:line="262" w:lineRule="exact"/>
              <w:ind w:left="107"/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wskaźnik</w:t>
            </w:r>
            <w:r>
              <w:rPr>
                <w:rFonts w:ascii="Times New Roman" w:hAnsi="Times New Roman" w:cs="Times New Roman"/>
                <w:spacing w:val="-1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stanu</w:t>
            </w:r>
            <w:r>
              <w:rPr>
                <w:rFonts w:ascii="Times New Roman" w:hAnsi="Times New Roman" w:cs="Times New Roman"/>
                <w:spacing w:val="-1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16"/>
              </w:rPr>
              <w:t>naładowania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spacing w:val="-2"/>
                <w:sz w:val="20"/>
                <w:szCs w:val="16"/>
              </w:rPr>
              <w:t>akumulatora,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9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  <w:szCs w:val="16"/>
              </w:rPr>
              <w:t>czas pracy</w:t>
            </w:r>
            <w:r>
              <w:rPr>
                <w:spacing w:val="-5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min.</w:t>
            </w:r>
            <w:r>
              <w:rPr>
                <w:spacing w:val="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 xml:space="preserve">45 </w:t>
            </w:r>
            <w:r>
              <w:rPr>
                <w:spacing w:val="-2"/>
                <w:sz w:val="20"/>
                <w:szCs w:val="16"/>
              </w:rPr>
              <w:t>minut,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10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  <w:szCs w:val="16"/>
              </w:rPr>
              <w:t>uchwyt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zgodny</w:t>
            </w:r>
            <w:r>
              <w:rPr>
                <w:spacing w:val="-5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w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wymogami</w:t>
            </w:r>
            <w:r>
              <w:rPr>
                <w:spacing w:val="2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normy</w:t>
            </w:r>
            <w:r>
              <w:rPr>
                <w:spacing w:val="-5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 xml:space="preserve">PN </w:t>
            </w:r>
            <w:r>
              <w:rPr>
                <w:spacing w:val="-5"/>
                <w:sz w:val="20"/>
                <w:szCs w:val="16"/>
              </w:rPr>
              <w:t>EN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11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ableParagraph"/>
              <w:spacing w:line="228" w:lineRule="auto"/>
              <w:ind w:left="107"/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1789 posiadający funkcje zasilania ssaka i ładowania</w:t>
            </w:r>
            <w:r>
              <w:rPr>
                <w:rFonts w:ascii="Times New Roman" w:hAnsi="Times New Roman" w:cs="Times New Roman"/>
                <w:spacing w:val="-10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akumulatora</w:t>
            </w:r>
            <w:r>
              <w:rPr>
                <w:rFonts w:ascii="Times New Roman" w:hAnsi="Times New Roman" w:cs="Times New Roman"/>
                <w:spacing w:val="-11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po</w:t>
            </w:r>
            <w:r>
              <w:rPr>
                <w:rFonts w:ascii="Times New Roman" w:hAnsi="Times New Roman" w:cs="Times New Roman"/>
                <w:spacing w:val="-10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wpięciu</w:t>
            </w:r>
            <w:r>
              <w:rPr>
                <w:rFonts w:ascii="Times New Roman" w:hAnsi="Times New Roman" w:cs="Times New Roman"/>
                <w:spacing w:val="-9"/>
                <w:sz w:val="20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urządzenia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  <w:szCs w:val="16"/>
              </w:rPr>
              <w:t>do</w:t>
            </w:r>
            <w:r>
              <w:rPr>
                <w:spacing w:val="-2"/>
                <w:sz w:val="20"/>
                <w:szCs w:val="16"/>
              </w:rPr>
              <w:t xml:space="preserve"> uchwytu.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12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  <w:szCs w:val="16"/>
              </w:rPr>
              <w:t>waga</w:t>
            </w:r>
            <w:r>
              <w:rPr>
                <w:spacing w:val="-2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poniżej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6</w:t>
            </w:r>
            <w:r>
              <w:rPr>
                <w:spacing w:val="-1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kg</w:t>
            </w:r>
            <w:r>
              <w:rPr>
                <w:spacing w:val="-3"/>
                <w:sz w:val="20"/>
                <w:szCs w:val="16"/>
              </w:rPr>
              <w:t xml:space="preserve"> </w:t>
            </w:r>
            <w:r>
              <w:rPr>
                <w:spacing w:val="-10"/>
                <w:sz w:val="20"/>
                <w:szCs w:val="16"/>
              </w:rPr>
              <w:t>,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  <w:szCs w:val="16"/>
              </w:rPr>
              <w:t>XVI.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RESPIRATOR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Podać markę, model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Urządzenie w zwartej i wytrzymałej obudowie, z uchwytem do przenoszenia w ręku.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bCs/>
                <w:sz w:val="20"/>
              </w:rPr>
              <w:t xml:space="preserve">Zestaw składa się z respiratora transportowego, </w:t>
            </w:r>
            <w:r>
              <w:rPr>
                <w:bCs/>
                <w:sz w:val="20"/>
              </w:rPr>
              <w:t>przewodu ciśnieniowego umożliwiającego podłączenie respiratora do zewnętrznego źródła tlenu ze złączem AGA 2 m, kieszeni na akcesoria, maski nr 5, przewodu pacjenta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bCs/>
                <w:sz w:val="20"/>
              </w:rPr>
              <w:t>Zasilanie respiratora transportowego: DC 12V i AC 230V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Płyta ścienna ze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zintegrowanym zasilaniem 12V umożliwiająca ładowanie respiratora zaraz po wpięciu, spełniająca normę PN EN 1789.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bCs/>
                <w:sz w:val="20"/>
              </w:rPr>
              <w:t>Wymiana baterii przez użytkownika bez użycia narzędzi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System kontrolny akumulatora umożliwiający sprawdzenie poziomu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naładowania i poprawność działania baterii bez potrzeby włączania urządzenia.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sz w:val="20"/>
              </w:rPr>
            </w:pP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bCs/>
                <w:sz w:val="20"/>
              </w:rPr>
              <w:t>Akumulator bez efektu pamięci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9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Ładowanie baterii od 0 do 95 % w czasie do 3,5 godziny.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10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Respirator przeznaczony do wentylacji dorosłych, dzieci i niemowląt.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11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Waga respiratora do 3 kg.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12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Zasilanie w tlen o ciśnieniu min. od 2,7 do 6,0 bar.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13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Wentylacja 100% tlenem i Air Mix.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14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Możliwość pracy w temperaturze -20 – + 50˚C.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15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Możliwość przechowywania w temperaturze  -40 – +70˚C.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16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Zabezpieczenie przed przypadkową zmianą ustawień parametrów oddechowych w postaci potwierdzenia wyboru parametru po jego ustawieniu.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17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bCs/>
                <w:sz w:val="20"/>
              </w:rPr>
              <w:t xml:space="preserve">Rozpoczęcie natychmiastowej wentylacji w trybach ratunkowych za pomocą przycisków umieszczonych na </w:t>
            </w:r>
            <w:r>
              <w:rPr>
                <w:bCs/>
                <w:sz w:val="20"/>
              </w:rPr>
              <w:t>panelu głównym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18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bCs/>
                <w:sz w:val="20"/>
              </w:rPr>
              <w:t>Autotest pozwalający na sprawdzenie działania respiratora każdorazowo po włączeniu urządzenia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684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19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Tryb wentylacji: IPPV, RSI, DEMAND „na żądanie”, Tryb RKO (CPR), CPAP, SIMV.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20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Częstotliwość oddechowa regulowana w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zakresie 5-50 oddechów/min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21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Objętość oddechowa regulowana w zakresie 50 – 2000 ml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22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Ciśnienie PEEP regulowane w zakresie od 0 do 30 cm H2O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23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Ciśnienie maksymalne w drogach oddechowych regulowane w zakresie od 10-65 mbar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24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Obrazowanie parametrów: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Ciśnienie PEEP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Maksymalne ciśnienie wdechowe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Objętość oddechowa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Objętość minutowa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Częstość oddechowa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25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Zintegrowany kolorowy wyświetlacz TFT o przekątnej 5 cali do prezentacji parametrów nastawnych oraz manometru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26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Alarmy: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Bezdechu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Nieszczelności układu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Wysokiego/niskiego poziomu ciśnienia w drogach oddechowych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Rozładowanego akumulatora/braku zasilania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bCs/>
                <w:sz w:val="20"/>
              </w:rPr>
              <w:t>Alarmy dźwiękowe, wizualne oraz komunikaty informujące o rodzaju alarmu wyświetlane na ekranie w języku polskim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  <w:szCs w:val="16"/>
              </w:rPr>
              <w:t>XVII.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DEFIBRYLATOR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  <w:szCs w:val="16"/>
              </w:rPr>
              <w:t>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Defibrylator przenośny, przystosowany do montażui przewozu w ambulansie, wyposażony w następujące funkcje: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defibrylacja,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kardiowersja,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stymulacja,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- 12 odprowadzeniowe EKG,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SPO2,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NIBP,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- transmisja danych poprzez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dedykowany dodatkowy modem,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ETCO2,</w:t>
            </w:r>
          </w:p>
          <w:p w:rsidR="00F12310" w:rsidRDefault="008B5ECB">
            <w:pPr>
              <w:pStyle w:val="Standard"/>
              <w:tabs>
                <w:tab w:val="left" w:pos="713"/>
                <w:tab w:val="left" w:pos="2201"/>
              </w:tabs>
              <w:ind w:left="74" w:right="130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W zestawie certyfikowany uchwyt karetkowy, torba z kieszeniami oraz z paskiem do noszenia na ramieniu, tester, akcesoria umożliwiające spełnienie powyższych funkcji, akumulatory wraz z ładowarką 12/230V.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XVIII.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SERWIS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Serwis pojazdu bazowego realizowany w najbliższej ASO oferowanej marki ambulansu lub innej wskazanej przez Zamawiającego – koszt po stronie Zamawiającego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Serwis zabudowy specjalnej sanitarnej w okresie gwarancji (łącznie z wymaganymi </w:t>
            </w:r>
            <w:r>
              <w:rPr>
                <w:sz w:val="20"/>
              </w:rPr>
              <w:t>okresowymi przeglądami zabudowy sanitarnej) realizowany w siedzibie Zamawiającego – koszt po stronie Wykonawcy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fa-IR" w:bidi="fa-IR"/>
              </w:rPr>
              <w:t xml:space="preserve">Reakcja serwisu zabudowy specjalnej sanitarnej w okresie gwarancji na zgłoszoną awarię w dni robocze w ciągu max. 72 godzin od jej </w:t>
            </w:r>
            <w:r>
              <w:rPr>
                <w:rFonts w:cs="Calibri"/>
                <w:sz w:val="20"/>
                <w:lang w:eastAsia="fa-IR" w:bidi="fa-IR"/>
              </w:rPr>
              <w:t xml:space="preserve">zgłoszenia tzn. rozpoczęcie naprawy </w:t>
            </w:r>
            <w:r>
              <w:rPr>
                <w:rFonts w:cs="Calibri"/>
                <w:sz w:val="20"/>
                <w:u w:val="single"/>
                <w:lang w:eastAsia="fa-IR" w:bidi="fa-IR"/>
              </w:rPr>
              <w:t>w siedzibie Zamawiającego</w:t>
            </w:r>
            <w:r>
              <w:rPr>
                <w:rFonts w:cs="Calibri"/>
                <w:sz w:val="20"/>
                <w:lang w:eastAsia="fa-IR" w:bidi="fa-IR"/>
              </w:rPr>
              <w:t xml:space="preserve"> w czasie nie dłuższym jak max. 72 godziny od zgłoszenia (wymóg minimalny)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XIX.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GWARANCJA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Gwarancja mechaniczna - min. 24 miesięcy (bez limitu km)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Przeglądy okresowe samochodu bazowego </w:t>
            </w:r>
            <w:r>
              <w:rPr>
                <w:rFonts w:cs="Calibri"/>
                <w:sz w:val="20"/>
                <w:lang w:eastAsia="ar-SA"/>
              </w:rPr>
              <w:t>dotyczące np. wymiany oleju, klocków, filtrów itd. w okresie gwarancji pokrywa Zamawiający (łącznie z materiałami zużywalnymi) 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Gwarancja na powłoki lakiernicze ambulansu – min. </w:t>
            </w:r>
            <w:r>
              <w:rPr>
                <w:rFonts w:cs="Calibri"/>
                <w:b/>
                <w:bCs/>
                <w:sz w:val="20"/>
                <w:lang w:eastAsia="ar-SA"/>
              </w:rPr>
              <w:t>36 miesięcy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Gwarancja na perforację korozyjną elementów </w:t>
            </w:r>
            <w:r>
              <w:rPr>
                <w:rFonts w:cs="Calibri"/>
                <w:sz w:val="20"/>
                <w:lang w:eastAsia="ar-SA"/>
              </w:rPr>
              <w:t xml:space="preserve">nadwozia – min. </w:t>
            </w:r>
            <w:r>
              <w:rPr>
                <w:rFonts w:cs="Calibri"/>
                <w:b/>
                <w:bCs/>
                <w:sz w:val="20"/>
                <w:lang w:eastAsia="ar-SA"/>
              </w:rPr>
              <w:t>84 miesięcy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Gwarancja na zabudowę medyczną – </w:t>
            </w:r>
            <w:r>
              <w:rPr>
                <w:rFonts w:cs="Calibri"/>
                <w:b/>
                <w:bCs/>
                <w:sz w:val="20"/>
                <w:lang w:eastAsia="ar-SA"/>
              </w:rPr>
              <w:t>min. 24 miesiące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Wymagane przeglądy techniczne i naprawy gwarancyjne odbywają się na koszt Wykonawcy w siedzibie Zamawiającego (min. 2 w okresie gwarancji)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Gwarancja na sprzęt </w:t>
            </w:r>
            <w:r>
              <w:rPr>
                <w:rFonts w:cs="Calibri"/>
                <w:sz w:val="20"/>
                <w:lang w:eastAsia="ar-SA"/>
              </w:rPr>
              <w:t xml:space="preserve">medyczny – </w:t>
            </w:r>
            <w:r>
              <w:rPr>
                <w:rFonts w:cs="Calibri"/>
                <w:b/>
                <w:bCs/>
                <w:sz w:val="20"/>
                <w:lang w:eastAsia="ar-SA"/>
              </w:rPr>
              <w:t>min. 24 miesiące.</w:t>
            </w:r>
          </w:p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>Wymagane przeglądy techniczne i naprawy gwarancyjne sprzętu medycznego odbywają się na koszt Wykonawcy w siedzibie Zamawiającego (zgodnie z wytycznymi producenta)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rFonts w:cs="Calibri"/>
                <w:sz w:val="20"/>
                <w:lang w:eastAsia="ar-SA"/>
              </w:rPr>
              <w:t xml:space="preserve">Dostawa na kołach lub lawecie na koszt i ryzyko </w:t>
            </w:r>
            <w:r>
              <w:rPr>
                <w:rFonts w:cs="Calibri"/>
                <w:sz w:val="20"/>
                <w:lang w:eastAsia="ar-SA"/>
              </w:rPr>
              <w:t>Zamawiającego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rFonts w:cs="Calibri"/>
                <w:sz w:val="20"/>
                <w:lang w:eastAsia="ar-SA"/>
              </w:rPr>
            </w:pPr>
            <w:r>
              <w:rPr>
                <w:rFonts w:cs="Calibri"/>
                <w:sz w:val="20"/>
                <w:lang w:eastAsia="ar-SA"/>
              </w:rPr>
              <w:t>TAK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rFonts w:cs="Calibri"/>
                <w:sz w:val="20"/>
                <w:lang w:eastAsia="ar-SA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XX.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b/>
                <w:bCs/>
                <w:sz w:val="20"/>
              </w:rPr>
              <w:t>DOKUMENTY WYMAGANE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Wyciąg ze świadectwa homologacji dla pojazdu bazowego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Świadectwo homologacji na oferowany pojazd skompletowany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Instrukcja obsługi pojazdu bazowego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Pozostałe instrukcje do wszystkich </w:t>
            </w:r>
            <w:r>
              <w:rPr>
                <w:sz w:val="20"/>
              </w:rPr>
              <w:t>elementów zabudowy specjalistycznej na zewnątrz i wewnątrz pojazdu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Pozostałe instrukcje obsługi pojazdu i urządzeń zamontowanych w ambulansie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Karta gwarancyjna zabudowy przedziału medycznego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  <w:shd w:val="clear" w:color="auto" w:fill="FFFF0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 xml:space="preserve">Karty gwarancyjne urządzeń wyposażenia </w:t>
            </w:r>
            <w:r>
              <w:rPr>
                <w:sz w:val="20"/>
              </w:rPr>
              <w:t>medycznego ambulansu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  <w:shd w:val="clear" w:color="auto" w:fill="FFFF0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Dokumenty umożliwiające rejestrację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</w:pPr>
            <w:r>
              <w:rPr>
                <w:sz w:val="20"/>
              </w:rPr>
              <w:t>Paszporty techniczne na wszystkie urządzenia wymagane prawem</w:t>
            </w: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8B5ECB">
            <w:pPr>
              <w:pStyle w:val="Textbody"/>
              <w:spacing w:before="57" w:after="57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3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12310" w:rsidRDefault="00F12310">
            <w:pPr>
              <w:pStyle w:val="Textbody"/>
              <w:spacing w:before="57" w:after="57"/>
              <w:rPr>
                <w:sz w:val="20"/>
              </w:rPr>
            </w:pPr>
          </w:p>
        </w:tc>
      </w:tr>
    </w:tbl>
    <w:p w:rsidR="00F12310" w:rsidRDefault="00F12310">
      <w:pPr>
        <w:pStyle w:val="Standard"/>
        <w:spacing w:line="240" w:lineRule="auto"/>
      </w:pPr>
    </w:p>
    <w:p w:rsidR="00F12310" w:rsidRDefault="008B5ECB">
      <w:pPr>
        <w:pStyle w:val="Standard"/>
        <w:pageBreakBefore/>
        <w:spacing w:before="0" w:after="0" w:line="240" w:lineRule="auto"/>
      </w:pPr>
      <w:r>
        <w:rPr>
          <w:rFonts w:ascii="Times New Roman" w:hAnsi="Times New Roman"/>
          <w:b/>
          <w:sz w:val="20"/>
          <w:szCs w:val="20"/>
        </w:rPr>
        <w:t>Zestawienie ocenianych parametrów technicznych (punktowanych/nie wymaganych)</w:t>
      </w:r>
    </w:p>
    <w:p w:rsidR="00F12310" w:rsidRDefault="00F12310">
      <w:pPr>
        <w:pStyle w:val="Standard"/>
        <w:spacing w:line="240" w:lineRule="auto"/>
        <w:rPr>
          <w:rFonts w:ascii="Times New Roman" w:hAnsi="Times New Roman"/>
          <w:b/>
          <w:sz w:val="20"/>
          <w:szCs w:val="20"/>
          <w:u w:val="single"/>
        </w:rPr>
      </w:pPr>
    </w:p>
    <w:p w:rsidR="00F12310" w:rsidRDefault="00F12310">
      <w:pPr>
        <w:pStyle w:val="Standard"/>
        <w:spacing w:line="240" w:lineRule="auto"/>
        <w:rPr>
          <w:rFonts w:ascii="Times New Roman" w:hAnsi="Times New Roman"/>
          <w:b/>
          <w:sz w:val="20"/>
          <w:szCs w:val="20"/>
          <w:u w:val="single"/>
        </w:rPr>
      </w:pPr>
    </w:p>
    <w:p w:rsidR="00F12310" w:rsidRDefault="008B5ECB">
      <w:pPr>
        <w:pStyle w:val="Standard"/>
        <w:spacing w:line="240" w:lineRule="auto"/>
      </w:pPr>
      <w:r>
        <w:rPr>
          <w:rFonts w:ascii="Times New Roman" w:hAnsi="Times New Roman"/>
          <w:b/>
          <w:sz w:val="20"/>
          <w:szCs w:val="20"/>
          <w:u w:val="single"/>
        </w:rPr>
        <w:t xml:space="preserve">Pozycje tak/nie i opis oferowanych </w:t>
      </w:r>
      <w:r>
        <w:rPr>
          <w:rFonts w:ascii="Times New Roman" w:hAnsi="Times New Roman"/>
          <w:b/>
          <w:sz w:val="20"/>
          <w:szCs w:val="20"/>
          <w:u w:val="single"/>
        </w:rPr>
        <w:t>parametrów wypełnia Wykonawca</w:t>
      </w:r>
    </w:p>
    <w:p w:rsidR="00F12310" w:rsidRDefault="00F12310">
      <w:pPr>
        <w:pStyle w:val="Standard"/>
        <w:spacing w:line="240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W w:w="10192" w:type="dxa"/>
        <w:tblInd w:w="-1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5798"/>
        <w:gridCol w:w="1134"/>
        <w:gridCol w:w="2694"/>
      </w:tblGrid>
      <w:tr w:rsidR="00F1231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Parametry punktowane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TAK/NIE</w:t>
            </w:r>
          </w:p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(określić)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Oferowane parametry (opisać)</w:t>
            </w: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System monitorowania martwego pola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Tak - 5 pkt</w:t>
            </w:r>
          </w:p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Nie – 0 pkt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F12310">
            <w:pPr>
              <w:pStyle w:val="Standard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Przesuw fotela u wezgłowia noszy dostępny w każdym momencie eksploatacji (również w </w:t>
            </w:r>
            <w:r>
              <w:rPr>
                <w:rFonts w:ascii="Times New Roman" w:hAnsi="Times New Roman"/>
                <w:sz w:val="20"/>
                <w:szCs w:val="20"/>
              </w:rPr>
              <w:t>trakcie jazdy ambulansu, przy zapiętym bezwładnościowym pasie bezpieczeństwa przez osobę siedzącą na przesuwanym fotelu). Dodatkowy przycisk zwalniający przesuw znajdujący się przy przesuwnych drzwiach pomiędzy kabiną kierowcy a przedziałem medycznym, ułat</w:t>
            </w:r>
            <w:r>
              <w:rPr>
                <w:rFonts w:ascii="Times New Roman" w:hAnsi="Times New Roman"/>
                <w:sz w:val="20"/>
                <w:szCs w:val="20"/>
              </w:rPr>
              <w:t>wiający przesuwanie fotela w trakcie przechodzenia z przedziału medycznego do kabiny kierowcy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Tak - 5 pkt</w:t>
            </w:r>
          </w:p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Nie – 0 pkt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F12310">
            <w:pPr>
              <w:pStyle w:val="Standard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Dodatkowe szufladki po półkami sufitowymi na lewej ścianie na drobny sprzęt medyczny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Tak - 5 pkt</w:t>
            </w:r>
          </w:p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Nie – 0 pkt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F12310">
            <w:pPr>
              <w:pStyle w:val="Standard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Średnica kółek tran</w:t>
            </w:r>
            <w:r>
              <w:rPr>
                <w:rFonts w:ascii="Times New Roman" w:hAnsi="Times New Roman"/>
                <w:sz w:val="20"/>
                <w:szCs w:val="20"/>
              </w:rPr>
              <w:t>sportera noszy co najmniej 200mm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Tak - 5 pkt</w:t>
            </w:r>
          </w:p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Nie – 0 pkt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F12310">
            <w:pPr>
              <w:pStyle w:val="Standard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Przekątna ekranu defibrylatora min. 8 cali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Tak - 5 pkt</w:t>
            </w:r>
          </w:p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Nie – 0 pkt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F12310">
            <w:pPr>
              <w:pStyle w:val="Standard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Mechaniczna blokada mechanizmu różnicowego (tylnego mostu)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Tak - 5 pkt</w:t>
            </w:r>
          </w:p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Nie – 0 pkt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F12310">
            <w:pPr>
              <w:pStyle w:val="Standard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Skrócenie czasu dostawy do 21 dni od </w:t>
            </w:r>
            <w:r>
              <w:rPr>
                <w:rFonts w:ascii="Times New Roman" w:hAnsi="Times New Roman"/>
                <w:sz w:val="20"/>
                <w:szCs w:val="20"/>
              </w:rPr>
              <w:t>podpisania umowy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Tak - 5 pkt</w:t>
            </w:r>
          </w:p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Nie – 0 pkt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F12310">
            <w:pPr>
              <w:pStyle w:val="Standard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1231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Skrzynia biegów automatyczna; moc silnika powyżej 125 KW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Tak - 5 pkt</w:t>
            </w:r>
          </w:p>
          <w:p w:rsidR="00F12310" w:rsidRDefault="008B5ECB">
            <w:pPr>
              <w:pStyle w:val="Standard"/>
              <w:spacing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Nie – 0 pkt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5" w:type="dxa"/>
            </w:tcMar>
          </w:tcPr>
          <w:p w:rsidR="00F12310" w:rsidRDefault="00F12310">
            <w:pPr>
              <w:pStyle w:val="Standard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12310" w:rsidRDefault="00F12310">
      <w:pPr>
        <w:pStyle w:val="Standard"/>
        <w:spacing w:line="240" w:lineRule="auto"/>
      </w:pPr>
    </w:p>
    <w:p w:rsidR="00F12310" w:rsidRDefault="00F12310">
      <w:pPr>
        <w:pStyle w:val="Standard"/>
        <w:spacing w:line="240" w:lineRule="auto"/>
      </w:pPr>
    </w:p>
    <w:p w:rsidR="00F12310" w:rsidRDefault="00F12310">
      <w:pPr>
        <w:pStyle w:val="Standard"/>
        <w:spacing w:line="240" w:lineRule="auto"/>
      </w:pPr>
    </w:p>
    <w:p w:rsidR="00F12310" w:rsidRDefault="008B5ECB">
      <w:pPr>
        <w:pStyle w:val="Standard"/>
        <w:spacing w:line="240" w:lineRule="auto"/>
      </w:pPr>
      <w:r>
        <w:rPr>
          <w:rFonts w:ascii="Times New Roman" w:hAnsi="Times New Roman"/>
          <w:lang w:eastAsia="fa-IR" w:bidi="fa-IR"/>
        </w:rPr>
        <w:tab/>
      </w:r>
      <w:r>
        <w:rPr>
          <w:rFonts w:ascii="Times New Roman" w:hAnsi="Times New Roman"/>
          <w:lang w:eastAsia="fa-IR" w:bidi="fa-IR"/>
        </w:rPr>
        <w:tab/>
      </w:r>
      <w:r>
        <w:rPr>
          <w:rFonts w:ascii="Times New Roman" w:hAnsi="Times New Roman"/>
          <w:lang w:eastAsia="fa-IR" w:bidi="fa-IR"/>
        </w:rPr>
        <w:tab/>
      </w:r>
      <w:r>
        <w:rPr>
          <w:rFonts w:ascii="Times New Roman" w:hAnsi="Times New Roman"/>
          <w:lang w:eastAsia="fa-IR" w:bidi="fa-IR"/>
        </w:rPr>
        <w:tab/>
      </w:r>
      <w:r>
        <w:rPr>
          <w:rFonts w:ascii="Times New Roman" w:hAnsi="Times New Roman"/>
          <w:lang w:eastAsia="fa-IR" w:bidi="fa-IR"/>
        </w:rPr>
        <w:tab/>
      </w:r>
      <w:r>
        <w:rPr>
          <w:rFonts w:ascii="Times New Roman" w:hAnsi="Times New Roman"/>
          <w:lang w:eastAsia="fa-IR" w:bidi="fa-IR"/>
        </w:rPr>
        <w:tab/>
      </w:r>
      <w:r>
        <w:rPr>
          <w:rFonts w:ascii="Times New Roman" w:hAnsi="Times New Roman"/>
          <w:lang w:eastAsia="fa-IR" w:bidi="fa-IR"/>
        </w:rPr>
        <w:tab/>
      </w:r>
      <w:r>
        <w:rPr>
          <w:rFonts w:ascii="Times New Roman" w:hAnsi="Times New Roman"/>
          <w:lang w:eastAsia="fa-IR" w:bidi="fa-IR"/>
        </w:rPr>
        <w:tab/>
      </w:r>
      <w:r>
        <w:rPr>
          <w:rFonts w:ascii="Times New Roman" w:hAnsi="Times New Roman"/>
          <w:lang w:eastAsia="fa-IR" w:bidi="fa-IR"/>
        </w:rPr>
        <w:tab/>
      </w:r>
      <w:r>
        <w:rPr>
          <w:rFonts w:ascii="Times New Roman" w:hAnsi="Times New Roman"/>
          <w:lang w:eastAsia="fa-IR" w:bidi="fa-IR"/>
        </w:rPr>
        <w:tab/>
      </w:r>
      <w:r>
        <w:rPr>
          <w:rFonts w:ascii="Times New Roman" w:hAnsi="Times New Roman"/>
          <w:lang w:eastAsia="fa-IR" w:bidi="fa-IR"/>
        </w:rPr>
        <w:tab/>
      </w:r>
      <w:r>
        <w:rPr>
          <w:rFonts w:ascii="Times New Roman" w:hAnsi="Times New Roman"/>
          <w:lang w:eastAsia="fa-IR" w:bidi="fa-IR"/>
        </w:rPr>
        <w:tab/>
      </w:r>
      <w:r>
        <w:rPr>
          <w:rFonts w:ascii="Times New Roman" w:hAnsi="Times New Roman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>………………………………………………………..</w:t>
      </w:r>
    </w:p>
    <w:p w:rsidR="00F12310" w:rsidRDefault="008B5ECB">
      <w:pPr>
        <w:pStyle w:val="Standard"/>
        <w:spacing w:before="0" w:after="200" w:line="240" w:lineRule="auto"/>
        <w:rPr>
          <w:rFonts w:ascii="Times New Roman" w:hAnsi="Times New Roman"/>
          <w:sz w:val="20"/>
          <w:szCs w:val="20"/>
          <w:lang w:eastAsia="fa-IR" w:bidi="fa-IR"/>
        </w:rPr>
      </w:pPr>
      <w:r>
        <w:rPr>
          <w:rFonts w:ascii="Times New Roman" w:hAnsi="Times New Roman"/>
          <w:sz w:val="20"/>
          <w:szCs w:val="20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ab/>
      </w:r>
      <w:r>
        <w:rPr>
          <w:rFonts w:ascii="Times New Roman" w:hAnsi="Times New Roman"/>
          <w:sz w:val="20"/>
          <w:szCs w:val="20"/>
          <w:lang w:eastAsia="fa-IR" w:bidi="fa-IR"/>
        </w:rPr>
        <w:tab/>
        <w:t>(podpis Wykonawcy)</w:t>
      </w:r>
    </w:p>
    <w:p w:rsidR="00F12310" w:rsidRDefault="008B5ECB">
      <w:pPr>
        <w:pStyle w:val="Standard"/>
        <w:tabs>
          <w:tab w:val="left" w:pos="540"/>
        </w:tabs>
        <w:ind w:right="-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Należy wypełnić wszystkie pozycje tabeli pod rygorem </w:t>
      </w:r>
      <w:r>
        <w:rPr>
          <w:rFonts w:ascii="Arial" w:hAnsi="Arial" w:cs="Arial"/>
          <w:bCs/>
        </w:rPr>
        <w:t>odrzucenia oferty.</w:t>
      </w:r>
    </w:p>
    <w:p w:rsidR="00F12310" w:rsidRDefault="008B5ECB">
      <w:pPr>
        <w:pStyle w:val="Standard"/>
        <w:tabs>
          <w:tab w:val="left" w:pos="540"/>
        </w:tabs>
        <w:ind w:right="-284"/>
        <w:jc w:val="both"/>
      </w:pPr>
      <w:r>
        <w:rPr>
          <w:rFonts w:ascii="Arial" w:hAnsi="Arial" w:cs="Arial"/>
          <w:bCs/>
        </w:rPr>
        <w:t xml:space="preserve">Oferowany ambulans musi posiadać wszystkie określone warunki graniczne – są to parametry wymagane i są one parametrami minimalnymi, </w:t>
      </w:r>
      <w:r>
        <w:rPr>
          <w:rFonts w:ascii="Arial" w:hAnsi="Arial" w:cs="Arial"/>
          <w:bCs/>
          <w:u w:val="single"/>
        </w:rPr>
        <w:t>za wyjątkiem parametrów ocenianych.</w:t>
      </w:r>
    </w:p>
    <w:p w:rsidR="00F12310" w:rsidRDefault="008B5ECB">
      <w:pPr>
        <w:pStyle w:val="Standard"/>
        <w:tabs>
          <w:tab w:val="left" w:pos="540"/>
        </w:tabs>
        <w:ind w:right="-284"/>
        <w:jc w:val="both"/>
      </w:pPr>
      <w:r>
        <w:rPr>
          <w:rFonts w:ascii="Arial" w:hAnsi="Arial" w:cs="Arial"/>
          <w:bCs/>
        </w:rPr>
        <w:t>Wykonawca jest zobowiązany wpisać właściwe słowo „TAK” lub „NIE” – zg</w:t>
      </w:r>
      <w:r>
        <w:rPr>
          <w:rFonts w:ascii="Arial" w:hAnsi="Arial" w:cs="Arial"/>
          <w:bCs/>
        </w:rPr>
        <w:t xml:space="preserve">odnie ze stanem faktycznym w rubryce parametr oferowany i parametr mieszczący się w zakresie wskazanym przez Zamawiającego. Brak spełnienia wymaganych powyżej warunków granicznych </w:t>
      </w:r>
      <w:r>
        <w:rPr>
          <w:rFonts w:ascii="Arial" w:hAnsi="Arial" w:cs="Arial"/>
          <w:bCs/>
          <w:u w:val="single"/>
        </w:rPr>
        <w:t>za wyjątkiem parametrów ocenianych</w:t>
      </w:r>
      <w:r>
        <w:rPr>
          <w:rFonts w:ascii="Arial" w:hAnsi="Arial" w:cs="Arial"/>
          <w:bCs/>
        </w:rPr>
        <w:t xml:space="preserve"> spowoduje odrzucenie oferty.</w:t>
      </w:r>
    </w:p>
    <w:p w:rsidR="00F12310" w:rsidRDefault="00F12310">
      <w:pPr>
        <w:pStyle w:val="Standard"/>
        <w:tabs>
          <w:tab w:val="left" w:pos="540"/>
        </w:tabs>
        <w:ind w:right="-284"/>
        <w:jc w:val="both"/>
        <w:rPr>
          <w:rFonts w:ascii="Arial" w:hAnsi="Arial" w:cs="Arial"/>
          <w:b/>
          <w:bCs/>
        </w:rPr>
      </w:pPr>
    </w:p>
    <w:p w:rsidR="00F12310" w:rsidRDefault="00F12310">
      <w:pPr>
        <w:pStyle w:val="Standard"/>
        <w:tabs>
          <w:tab w:val="left" w:pos="540"/>
        </w:tabs>
        <w:ind w:right="-284"/>
        <w:jc w:val="both"/>
        <w:rPr>
          <w:rFonts w:ascii="Arial" w:hAnsi="Arial" w:cs="Arial"/>
          <w:b/>
          <w:bCs/>
        </w:rPr>
      </w:pPr>
    </w:p>
    <w:p w:rsidR="00F12310" w:rsidRDefault="00F12310">
      <w:pPr>
        <w:pStyle w:val="Standard"/>
        <w:tabs>
          <w:tab w:val="left" w:pos="540"/>
        </w:tabs>
        <w:ind w:right="-284"/>
        <w:jc w:val="both"/>
        <w:rPr>
          <w:rFonts w:ascii="Arial" w:hAnsi="Arial" w:cs="Arial"/>
          <w:b/>
          <w:bCs/>
        </w:rPr>
      </w:pPr>
    </w:p>
    <w:p w:rsidR="00F12310" w:rsidRDefault="00F12310">
      <w:pPr>
        <w:pStyle w:val="Standard"/>
        <w:tabs>
          <w:tab w:val="left" w:pos="540"/>
        </w:tabs>
        <w:ind w:right="-284"/>
        <w:jc w:val="both"/>
        <w:rPr>
          <w:rFonts w:ascii="Arial" w:hAnsi="Arial" w:cs="Arial"/>
          <w:b/>
          <w:bCs/>
        </w:rPr>
      </w:pPr>
    </w:p>
    <w:p w:rsidR="00F12310" w:rsidRDefault="008B5ECB">
      <w:pPr>
        <w:pStyle w:val="Standard"/>
        <w:spacing w:line="100" w:lineRule="atLeast"/>
        <w:rPr>
          <w:rFonts w:ascii="Arial" w:hAnsi="Arial" w:cs="Arial"/>
        </w:rPr>
      </w:pPr>
      <w:r>
        <w:rPr>
          <w:rFonts w:ascii="Arial" w:hAnsi="Arial" w:cs="Arial"/>
        </w:rPr>
        <w:t>........</w:t>
      </w:r>
      <w:r>
        <w:rPr>
          <w:rFonts w:ascii="Arial" w:hAnsi="Arial" w:cs="Arial"/>
        </w:rPr>
        <w:t>..........., dnia .............2025 r.</w:t>
      </w:r>
      <w:r>
        <w:rPr>
          <w:rFonts w:ascii="Arial" w:hAnsi="Arial" w:cs="Arial"/>
        </w:rPr>
        <w:tab/>
        <w:t xml:space="preserve">                                 ……....................................................</w:t>
      </w:r>
    </w:p>
    <w:p w:rsidR="00F12310" w:rsidRDefault="008B5ECB">
      <w:pPr>
        <w:pStyle w:val="Standard"/>
        <w:spacing w:line="100" w:lineRule="atLeast"/>
        <w:jc w:val="right"/>
      </w:pPr>
      <w:r>
        <w:t xml:space="preserve">  miejscowość</w:t>
      </w:r>
      <w:r>
        <w:tab/>
      </w:r>
      <w:r>
        <w:tab/>
      </w:r>
      <w:r>
        <w:tab/>
      </w:r>
      <w:r>
        <w:tab/>
        <w:t xml:space="preserve">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podpis,  osoby upoważnionej</w:t>
      </w:r>
    </w:p>
    <w:sectPr w:rsidR="00F12310">
      <w:pgSz w:w="11906" w:h="16838"/>
      <w:pgMar w:top="993" w:right="851" w:bottom="42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ECB" w:rsidRDefault="008B5ECB">
      <w:r>
        <w:separator/>
      </w:r>
    </w:p>
  </w:endnote>
  <w:endnote w:type="continuationSeparator" w:id="0">
    <w:p w:rsidR="008B5ECB" w:rsidRDefault="008B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, 'Cambria Math'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ECB" w:rsidRDefault="008B5ECB">
      <w:r>
        <w:rPr>
          <w:color w:val="000000"/>
        </w:rPr>
        <w:separator/>
      </w:r>
    </w:p>
  </w:footnote>
  <w:footnote w:type="continuationSeparator" w:id="0">
    <w:p w:rsidR="008B5ECB" w:rsidRDefault="008B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07DB8"/>
    <w:multiLevelType w:val="multilevel"/>
    <w:tmpl w:val="BD643CD0"/>
    <w:styleLink w:val="WWNum14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1" w15:restartNumberingAfterBreak="0">
    <w:nsid w:val="44FF3347"/>
    <w:multiLevelType w:val="multilevel"/>
    <w:tmpl w:val="CC381BB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481B0249"/>
    <w:multiLevelType w:val="multilevel"/>
    <w:tmpl w:val="A6382D84"/>
    <w:styleLink w:val="WWNum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851056"/>
    <w:multiLevelType w:val="multilevel"/>
    <w:tmpl w:val="BF68A4A2"/>
    <w:styleLink w:val="NoList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6BA26245"/>
    <w:multiLevelType w:val="multilevel"/>
    <w:tmpl w:val="61CEB24C"/>
    <w:styleLink w:val="WW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643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F12310"/>
    <w:rsid w:val="002645EE"/>
    <w:rsid w:val="008B5ECB"/>
    <w:rsid w:val="00F1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D1513B-5376-4B09-BAFA-05E04587B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before="57" w:after="57" w:line="276" w:lineRule="auto"/>
    </w:pPr>
    <w:rPr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before="0"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Lista">
    <w:name w:val="List"/>
    <w:basedOn w:val="Textbody"/>
    <w:rPr>
      <w:rFonts w:ascii="Arial" w:eastAsia="Arial" w:hAnsi="Arial"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  <w:sz w:val="24"/>
    </w:rPr>
  </w:style>
  <w:style w:type="paragraph" w:customStyle="1" w:styleId="HeaderandFooter">
    <w:name w:val="Header and Footer"/>
    <w:basedOn w:val="Standard"/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Indeks">
    <w:name w:val="Indeks"/>
    <w:basedOn w:val="Standard"/>
    <w:pPr>
      <w:suppressLineNumbers/>
    </w:pPr>
    <w:rPr>
      <w:rFonts w:ascii="Times New Roman" w:eastAsia="Times New Roman" w:hAnsi="Times New Roman" w:cs="Arial"/>
    </w:rPr>
  </w:style>
  <w:style w:type="paragraph" w:customStyle="1" w:styleId="caption1">
    <w:name w:val="caption1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Gwkaistopka">
    <w:name w:val="Główka i stopka"/>
    <w:basedOn w:val="Standard"/>
  </w:style>
  <w:style w:type="paragraph" w:customStyle="1" w:styleId="Heading11">
    <w:name w:val="Heading 11"/>
    <w:basedOn w:val="Standard"/>
    <w:next w:val="Standard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customStyle="1" w:styleId="Caption11">
    <w:name w:val="Caption11"/>
    <w:basedOn w:val="Standard"/>
    <w:pPr>
      <w:suppressLineNumbers/>
      <w:spacing w:before="120" w:after="120"/>
    </w:pPr>
    <w:rPr>
      <w:rFonts w:ascii="Times New Roman" w:eastAsia="Times New Roman" w:hAnsi="Times New Roman" w:cs="Arial"/>
      <w:i/>
      <w:iCs/>
      <w:sz w:val="24"/>
      <w:szCs w:val="24"/>
    </w:rPr>
  </w:style>
  <w:style w:type="paragraph" w:styleId="Bezodstpw">
    <w:name w:val="No Spacing"/>
    <w:pPr>
      <w:widowControl/>
      <w:suppressAutoHyphens/>
    </w:pPr>
    <w:rPr>
      <w:lang w:eastAsia="en-US"/>
    </w:rPr>
  </w:style>
  <w:style w:type="paragraph" w:styleId="Tekstdymka">
    <w:name w:val="Balloon Text"/>
    <w:basedOn w:val="Standard"/>
    <w:pPr>
      <w:spacing w:before="0" w:after="0" w:line="240" w:lineRule="auto"/>
    </w:pPr>
    <w:rPr>
      <w:rFonts w:ascii="Tahoma" w:eastAsia="Tahoma" w:hAnsi="Tahoma" w:cs="Tahoma"/>
      <w:sz w:val="16"/>
      <w:szCs w:val="16"/>
    </w:rPr>
  </w:style>
  <w:style w:type="paragraph" w:customStyle="1" w:styleId="Header1">
    <w:name w:val="Header1"/>
    <w:basedOn w:val="Standard"/>
    <w:pPr>
      <w:tabs>
        <w:tab w:val="center" w:pos="4536"/>
        <w:tab w:val="right" w:pos="9072"/>
      </w:tabs>
      <w:spacing w:before="0" w:after="0" w:line="240" w:lineRule="auto"/>
    </w:pPr>
  </w:style>
  <w:style w:type="paragraph" w:customStyle="1" w:styleId="Footer1">
    <w:name w:val="Footer1"/>
    <w:basedOn w:val="Standard"/>
    <w:pPr>
      <w:tabs>
        <w:tab w:val="center" w:pos="4536"/>
        <w:tab w:val="right" w:pos="9072"/>
      </w:tabs>
      <w:spacing w:before="0" w:after="0" w:line="240" w:lineRule="auto"/>
    </w:pPr>
  </w:style>
  <w:style w:type="paragraph" w:styleId="Akapitzlist">
    <w:name w:val="List Paragraph"/>
    <w:basedOn w:val="Standard"/>
    <w:pPr>
      <w:spacing w:line="200" w:lineRule="atLeast"/>
      <w:ind w:left="720"/>
    </w:pPr>
  </w:style>
  <w:style w:type="paragraph" w:customStyle="1" w:styleId="Zawartotabeli">
    <w:name w:val="Zawartość tabeli"/>
    <w:basedOn w:val="Standard"/>
    <w:pPr>
      <w:widowControl w:val="0"/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yliczkreska">
    <w:name w:val="Wylicz_kreska"/>
    <w:basedOn w:val="Standard"/>
    <w:pPr>
      <w:ind w:left="720" w:hanging="180"/>
    </w:pPr>
    <w:rPr>
      <w:sz w:val="24"/>
    </w:rPr>
  </w:style>
  <w:style w:type="paragraph" w:customStyle="1" w:styleId="TableParagraph">
    <w:name w:val="Table Paragraph"/>
    <w:basedOn w:val="Standard"/>
    <w:pPr>
      <w:widowControl w:val="0"/>
      <w:spacing w:before="0" w:after="0" w:line="240" w:lineRule="auto"/>
    </w:pPr>
    <w:rPr>
      <w:rFonts w:cs="Calibri"/>
    </w:rPr>
  </w:style>
  <w:style w:type="paragraph" w:customStyle="1" w:styleId="StandardWW">
    <w:name w:val="Standard (WW)"/>
    <w:pPr>
      <w:suppressAutoHyphens/>
    </w:pPr>
    <w:rPr>
      <w:rFonts w:ascii="Times New Roman" w:eastAsia="Times New Roman" w:hAnsi="Times New Roman" w:cs="Mangal, 'Cambria Math'"/>
      <w:sz w:val="24"/>
      <w:szCs w:val="24"/>
      <w:lang w:eastAsia="zh-CN" w:bidi="hi-IN"/>
    </w:rPr>
  </w:style>
  <w:style w:type="paragraph" w:customStyle="1" w:styleId="Marginalia">
    <w:name w:val="Marginalia"/>
    <w:basedOn w:val="Standard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Marginalia"/>
    <w:next w:val="Marginalia"/>
    <w:rPr>
      <w:b/>
      <w:bCs/>
    </w:rPr>
  </w:style>
  <w:style w:type="paragraph" w:customStyle="1" w:styleId="Zawartoramki">
    <w:name w:val="Zawartość ramki"/>
    <w:basedOn w:val="Standard"/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 w:val="24"/>
      <w:szCs w:val="24"/>
    </w:rPr>
  </w:style>
  <w:style w:type="paragraph" w:styleId="Stopka">
    <w:name w:val="footer"/>
    <w:basedOn w:val="Standard"/>
    <w:pPr>
      <w:tabs>
        <w:tab w:val="center" w:pos="4536"/>
        <w:tab w:val="right" w:pos="9072"/>
      </w:tabs>
      <w:spacing w:before="0" w:after="0" w:line="240" w:lineRule="auto"/>
    </w:pPr>
  </w:style>
  <w:style w:type="paragraph" w:customStyle="1" w:styleId="Komentarz">
    <w:name w:val="Komentarz"/>
    <w:basedOn w:val="Standard"/>
    <w:pPr>
      <w:spacing w:before="56" w:after="0"/>
      <w:ind w:left="56" w:right="56"/>
    </w:pPr>
    <w:rPr>
      <w:sz w:val="20"/>
      <w:szCs w:val="20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Nagwek1Znak">
    <w:name w:val="Nagłówek 1 Znak"/>
    <w:basedOn w:val="Domylnaczcionkaakapitu"/>
    <w:rPr>
      <w:rFonts w:ascii="Cambria" w:eastAsia="Cambria" w:hAnsi="Cambria" w:cs="Times New Roman"/>
      <w:b/>
      <w:bCs/>
      <w:color w:val="365F91"/>
      <w:sz w:val="28"/>
      <w:szCs w:val="28"/>
      <w:lang w:eastAsia="en-US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</w:rPr>
  </w:style>
  <w:style w:type="character" w:customStyle="1" w:styleId="BalloonTextChar">
    <w:name w:val="Balloon Text Char"/>
    <w:basedOn w:val="Domylnaczcionkaakapitu"/>
    <w:rPr>
      <w:rFonts w:ascii="Tahoma" w:eastAsia="Tahoma" w:hAnsi="Tahoma" w:cs="Tahoma"/>
      <w:sz w:val="16"/>
      <w:szCs w:val="16"/>
      <w:lang w:eastAsia="en-US"/>
    </w:rPr>
  </w:style>
  <w:style w:type="character" w:customStyle="1" w:styleId="NagwekZnak">
    <w:name w:val="Nagłówek Znak"/>
    <w:basedOn w:val="Domylnaczcionkaakapitu"/>
    <w:rPr>
      <w:rFonts w:cs="Times New Roman"/>
      <w:sz w:val="22"/>
      <w:szCs w:val="22"/>
      <w:lang w:eastAsia="en-US"/>
    </w:rPr>
  </w:style>
  <w:style w:type="character" w:customStyle="1" w:styleId="StopkaZnak">
    <w:name w:val="Stopka Znak"/>
    <w:basedOn w:val="Domylnaczcionkaakapitu"/>
    <w:rPr>
      <w:rFonts w:cs="Times New Roman"/>
      <w:sz w:val="22"/>
      <w:szCs w:val="22"/>
      <w:lang w:eastAsia="en-US"/>
    </w:rPr>
  </w:style>
  <w:style w:type="character" w:customStyle="1" w:styleId="Internetlink">
    <w:name w:val="Internet link"/>
    <w:basedOn w:val="Domylnaczcionkaakapitu"/>
    <w:rPr>
      <w:rFonts w:cs="Times New Roman"/>
      <w:color w:val="0000FF"/>
      <w:u w:val="single"/>
    </w:rPr>
  </w:style>
  <w:style w:type="character" w:customStyle="1" w:styleId="Znakinumeracji">
    <w:name w:val="Znaki numeracji"/>
  </w:style>
  <w:style w:type="character" w:customStyle="1" w:styleId="spec-sheet-caption">
    <w:name w:val="spec-sheet-caption"/>
    <w:basedOn w:val="Domylnaczcionkaakapitu"/>
    <w:rPr>
      <w:rFonts w:cs="Times New Roman"/>
    </w:rPr>
  </w:style>
  <w:style w:type="character" w:customStyle="1" w:styleId="NagwekZnak1">
    <w:name w:val="Nagłówek Znak1"/>
    <w:basedOn w:val="Domylnaczcionkaakapitu"/>
    <w:rPr>
      <w:lang w:eastAsia="en-US"/>
    </w:rPr>
  </w:style>
  <w:style w:type="character" w:customStyle="1" w:styleId="BodyTextChar1">
    <w:name w:val="Body Text Char1"/>
    <w:basedOn w:val="Domylnaczcionkaakapitu"/>
    <w:rPr>
      <w:lang w:eastAsia="en-US"/>
    </w:rPr>
  </w:style>
  <w:style w:type="character" w:customStyle="1" w:styleId="TekstdymkaZnak">
    <w:name w:val="Tekst dymka Znak"/>
    <w:basedOn w:val="Domylnaczcionkaakapitu"/>
    <w:rPr>
      <w:rFonts w:ascii="Times New Roman" w:eastAsia="Times New Roman" w:hAnsi="Times New Roman" w:cs="Times New Roman"/>
      <w:sz w:val="2"/>
      <w:szCs w:val="2"/>
      <w:lang w:eastAsia="en-US"/>
    </w:rPr>
  </w:style>
  <w:style w:type="character" w:customStyle="1" w:styleId="TekstkomentarzaZnak">
    <w:name w:val="Tekst komentarza Znak"/>
    <w:basedOn w:val="Domylnaczcionkaakapitu"/>
    <w:rPr>
      <w:rFonts w:cs="Times New Roman"/>
      <w:lang w:eastAsia="en-US"/>
    </w:rPr>
  </w:style>
  <w:style w:type="character" w:styleId="Odwoaniedokomentarza">
    <w:name w:val="annotation reference"/>
    <w:basedOn w:val="Domylnaczcionkaakapitu"/>
    <w:rPr>
      <w:rFonts w:cs="Times New Roman"/>
      <w:sz w:val="16"/>
      <w:szCs w:val="16"/>
    </w:rPr>
  </w:style>
  <w:style w:type="character" w:customStyle="1" w:styleId="TematkomentarzaZnak">
    <w:name w:val="Temat komentarza Znak"/>
    <w:basedOn w:val="TekstkomentarzaZnak"/>
    <w:rPr>
      <w:rFonts w:cs="Times New Roman"/>
      <w:b/>
      <w:bCs/>
      <w:lang w:eastAsia="en-US"/>
    </w:rPr>
  </w:style>
  <w:style w:type="character" w:customStyle="1" w:styleId="StopkaZnak1">
    <w:name w:val="Stopka Znak1"/>
    <w:basedOn w:val="Domylnaczcionkaakapitu"/>
    <w:rPr>
      <w:lang w:eastAsia="en-US"/>
    </w:rPr>
  </w:style>
  <w:style w:type="character" w:customStyle="1" w:styleId="TekstprzypisudolnegoZnak1">
    <w:name w:val="Tekst przypisu dolnego Znak1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numbering" w:customStyle="1" w:styleId="NoList">
    <w:name w:val="No List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14">
    <w:name w:val="WWNum14"/>
    <w:basedOn w:val="Bezlisty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7269</Words>
  <Characters>43615</Characters>
  <Application>Microsoft Office Word</Application>
  <DocSecurity>0</DocSecurity>
  <Lines>363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</dc:creator>
  <cp:lastModifiedBy> Adela Ćwik</cp:lastModifiedBy>
  <cp:revision>2</cp:revision>
  <cp:lastPrinted>2025-10-15T06:13:00Z</cp:lastPrinted>
  <dcterms:created xsi:type="dcterms:W3CDTF">2025-10-15T06:55:00Z</dcterms:created>
  <dcterms:modified xsi:type="dcterms:W3CDTF">2025-10-15T06:55:00Z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