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21C11E" w14:textId="2A644CF8" w:rsidR="00C729DB" w:rsidRPr="002476A4" w:rsidRDefault="00C729DB" w:rsidP="00C729DB">
      <w:pPr>
        <w:jc w:val="right"/>
        <w:rPr>
          <w:rFonts w:ascii="Century Gothic" w:eastAsiaTheme="minorEastAsia" w:hAnsi="Century Gothic"/>
          <w:b/>
          <w:bCs/>
          <w:sz w:val="16"/>
          <w:szCs w:val="16"/>
          <w:u w:val="single"/>
          <w:lang w:eastAsia="ja-JP"/>
        </w:rPr>
      </w:pPr>
      <w:r w:rsidRPr="002476A4">
        <w:rPr>
          <w:rFonts w:ascii="Century Gothic" w:eastAsiaTheme="minorEastAsia" w:hAnsi="Century Gothic"/>
          <w:b/>
          <w:bCs/>
          <w:sz w:val="16"/>
          <w:szCs w:val="16"/>
          <w:lang w:eastAsia="ja-JP"/>
        </w:rPr>
        <w:t xml:space="preserve">załącznik nr 2 do SWZ / załącznik </w:t>
      </w:r>
      <w:r w:rsidRPr="002476A4">
        <w:rPr>
          <w:rFonts w:ascii="Century Gothic" w:eastAsiaTheme="minorEastAsia" w:hAnsi="Century Gothic"/>
          <w:b/>
          <w:bCs/>
          <w:sz w:val="16"/>
          <w:szCs w:val="16"/>
          <w:u w:val="single"/>
          <w:lang w:eastAsia="ja-JP"/>
        </w:rPr>
        <w:t xml:space="preserve">nr </w:t>
      </w:r>
      <w:r>
        <w:rPr>
          <w:rFonts w:ascii="Century Gothic" w:eastAsiaTheme="minorEastAsia" w:hAnsi="Century Gothic"/>
          <w:b/>
          <w:bCs/>
          <w:sz w:val="16"/>
          <w:szCs w:val="16"/>
          <w:u w:val="single"/>
          <w:lang w:eastAsia="ja-JP"/>
        </w:rPr>
        <w:t>1</w:t>
      </w:r>
      <w:r w:rsidRPr="002476A4">
        <w:rPr>
          <w:rFonts w:ascii="Century Gothic" w:eastAsiaTheme="minorEastAsia" w:hAnsi="Century Gothic"/>
          <w:b/>
          <w:bCs/>
          <w:sz w:val="16"/>
          <w:szCs w:val="16"/>
          <w:u w:val="single"/>
          <w:lang w:eastAsia="ja-JP"/>
        </w:rPr>
        <w:t xml:space="preserve"> do umowy</w:t>
      </w:r>
    </w:p>
    <w:p w14:paraId="4BFA633B" w14:textId="77777777" w:rsidR="00C729DB" w:rsidRDefault="00C729DB" w:rsidP="00C729DB">
      <w:pPr>
        <w:jc w:val="right"/>
        <w:rPr>
          <w:rFonts w:ascii="Century Gothic" w:hAnsi="Century Gothic"/>
          <w:sz w:val="16"/>
          <w:szCs w:val="16"/>
        </w:rPr>
      </w:pPr>
      <w:r>
        <w:rPr>
          <w:rFonts w:ascii="Century Gothic" w:hAnsi="Century Gothic"/>
          <w:sz w:val="16"/>
          <w:szCs w:val="16"/>
        </w:rPr>
        <w:t xml:space="preserve">                                                                     </w:t>
      </w:r>
    </w:p>
    <w:p w14:paraId="1634433D" w14:textId="3574A73C" w:rsidR="00D806E5" w:rsidRDefault="00C729DB" w:rsidP="00D806E5">
      <w:pPr>
        <w:jc w:val="center"/>
        <w:rPr>
          <w:rFonts w:ascii="Century Gothic" w:hAnsi="Century Gothic"/>
          <w:sz w:val="16"/>
          <w:szCs w:val="16"/>
        </w:rPr>
      </w:pPr>
      <w:r>
        <w:rPr>
          <w:rFonts w:ascii="Century Gothic" w:hAnsi="Century Gothic"/>
          <w:sz w:val="16"/>
          <w:szCs w:val="16"/>
        </w:rPr>
        <w:t>Opis przedmiotu zamówienia</w:t>
      </w:r>
    </w:p>
    <w:p w14:paraId="6D20C925" w14:textId="3929DDF1" w:rsidR="00F50BF3" w:rsidRPr="00F50BF3" w:rsidRDefault="00F50BF3" w:rsidP="00C729DB">
      <w:pPr>
        <w:rPr>
          <w:rFonts w:ascii="Century Gothic" w:hAnsi="Century Gothic"/>
          <w:sz w:val="16"/>
          <w:szCs w:val="16"/>
        </w:rPr>
      </w:pPr>
      <w:r w:rsidRPr="00E32B13">
        <w:rPr>
          <w:rFonts w:ascii="Garamond" w:eastAsia="Calibri" w:hAnsi="Garamond" w:cs="Calibri"/>
          <w:b/>
          <w:bCs/>
          <w:u w:val="single"/>
        </w:rPr>
        <w:t>7 kardiomonitorów wraz z centralą monitorującą</w:t>
      </w:r>
      <w:r>
        <w:rPr>
          <w:rFonts w:ascii="Garamond" w:eastAsia="Calibri" w:hAnsi="Garamond" w:cs="Calibri"/>
          <w:b/>
          <w:bCs/>
          <w:u w:val="single"/>
        </w:rPr>
        <w:t>.</w:t>
      </w:r>
    </w:p>
    <w:p w14:paraId="1DD190B9" w14:textId="77777777" w:rsidR="00F50BF3" w:rsidRPr="00F50BF3" w:rsidRDefault="00F50BF3">
      <w:pPr>
        <w:rPr>
          <w:rFonts w:ascii="Century Gothic" w:hAnsi="Century Gothic"/>
          <w:sz w:val="16"/>
          <w:szCs w:val="16"/>
        </w:rPr>
      </w:pPr>
    </w:p>
    <w:tbl>
      <w:tblPr>
        <w:tblW w:w="893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4678"/>
        <w:gridCol w:w="1857"/>
        <w:gridCol w:w="1694"/>
      </w:tblGrid>
      <w:tr w:rsidR="00F14357" w:rsidRPr="00F50BF3" w14:paraId="5C244CAA" w14:textId="77777777" w:rsidTr="00BB15BA">
        <w:trPr>
          <w:trHeight w:val="270"/>
        </w:trPr>
        <w:tc>
          <w:tcPr>
            <w:tcW w:w="709" w:type="dxa"/>
          </w:tcPr>
          <w:p w14:paraId="0BA9BB7D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b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b/>
                <w:kern w:val="0"/>
                <w:sz w:val="16"/>
                <w:szCs w:val="16"/>
                <w:lang w:eastAsia="pl-PL"/>
                <w14:ligatures w14:val="none"/>
              </w:rPr>
              <w:t>LP</w:t>
            </w:r>
          </w:p>
        </w:tc>
        <w:tc>
          <w:tcPr>
            <w:tcW w:w="4678" w:type="dxa"/>
            <w:noWrap/>
            <w:vAlign w:val="bottom"/>
            <w:hideMark/>
          </w:tcPr>
          <w:p w14:paraId="098A5952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b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b/>
                <w:kern w:val="0"/>
                <w:sz w:val="16"/>
                <w:szCs w:val="16"/>
                <w:lang w:eastAsia="pl-PL"/>
                <w14:ligatures w14:val="none"/>
              </w:rPr>
              <w:t>Wymagania Zamawiającego (warunek)</w:t>
            </w:r>
          </w:p>
        </w:tc>
        <w:tc>
          <w:tcPr>
            <w:tcW w:w="1857" w:type="dxa"/>
          </w:tcPr>
          <w:p w14:paraId="1B914707" w14:textId="77777777" w:rsidR="00F14357" w:rsidRPr="00F50BF3" w:rsidRDefault="00F14357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b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b/>
                <w:kern w:val="0"/>
                <w:sz w:val="16"/>
                <w:szCs w:val="16"/>
                <w:lang w:eastAsia="pl-PL"/>
                <w14:ligatures w14:val="none"/>
              </w:rPr>
              <w:t>Parametr wymagany</w:t>
            </w:r>
          </w:p>
        </w:tc>
        <w:tc>
          <w:tcPr>
            <w:tcW w:w="1694" w:type="dxa"/>
          </w:tcPr>
          <w:p w14:paraId="2F5E9FC6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b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b/>
                <w:kern w:val="0"/>
                <w:sz w:val="16"/>
                <w:szCs w:val="16"/>
                <w:lang w:eastAsia="pl-PL"/>
                <w14:ligatures w14:val="none"/>
              </w:rPr>
              <w:t>Parametr oferowany/podać</w:t>
            </w:r>
          </w:p>
        </w:tc>
      </w:tr>
      <w:tr w:rsidR="00F14357" w:rsidRPr="00F50BF3" w14:paraId="6E561769" w14:textId="77777777" w:rsidTr="00BB15BA">
        <w:trPr>
          <w:trHeight w:val="270"/>
        </w:trPr>
        <w:tc>
          <w:tcPr>
            <w:tcW w:w="709" w:type="dxa"/>
          </w:tcPr>
          <w:p w14:paraId="779DF883" w14:textId="77777777" w:rsidR="00F14357" w:rsidRPr="00F50BF3" w:rsidRDefault="00F14357" w:rsidP="00F14357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678" w:type="dxa"/>
            <w:noWrap/>
            <w:vAlign w:val="bottom"/>
            <w:hideMark/>
          </w:tcPr>
          <w:p w14:paraId="0253A2DE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Producent</w:t>
            </w:r>
          </w:p>
        </w:tc>
        <w:tc>
          <w:tcPr>
            <w:tcW w:w="1857" w:type="dxa"/>
          </w:tcPr>
          <w:p w14:paraId="5D9BDA11" w14:textId="77777777" w:rsidR="00F14357" w:rsidRPr="00F50BF3" w:rsidRDefault="00F14357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1694" w:type="dxa"/>
          </w:tcPr>
          <w:p w14:paraId="3F099997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F50BF3" w14:paraId="2642DA41" w14:textId="77777777" w:rsidTr="00BB15BA">
        <w:trPr>
          <w:trHeight w:val="270"/>
        </w:trPr>
        <w:tc>
          <w:tcPr>
            <w:tcW w:w="709" w:type="dxa"/>
          </w:tcPr>
          <w:p w14:paraId="77CD0403" w14:textId="77777777" w:rsidR="00F14357" w:rsidRPr="00F50BF3" w:rsidRDefault="00F14357" w:rsidP="00F14357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678" w:type="dxa"/>
            <w:noWrap/>
            <w:vAlign w:val="bottom"/>
            <w:hideMark/>
          </w:tcPr>
          <w:p w14:paraId="0F1FE473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Model/Typ (pełna symbolika)</w:t>
            </w:r>
          </w:p>
        </w:tc>
        <w:tc>
          <w:tcPr>
            <w:tcW w:w="1857" w:type="dxa"/>
          </w:tcPr>
          <w:p w14:paraId="558BBEE8" w14:textId="77777777" w:rsidR="00F14357" w:rsidRPr="00F50BF3" w:rsidRDefault="00F14357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1694" w:type="dxa"/>
          </w:tcPr>
          <w:p w14:paraId="6D27ADC9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F50BF3" w14:paraId="6AC8BE7F" w14:textId="77777777" w:rsidTr="00BB15BA">
        <w:trPr>
          <w:trHeight w:val="270"/>
        </w:trPr>
        <w:tc>
          <w:tcPr>
            <w:tcW w:w="709" w:type="dxa"/>
          </w:tcPr>
          <w:p w14:paraId="6DBBA82F" w14:textId="77777777" w:rsidR="00F14357" w:rsidRPr="00F50BF3" w:rsidRDefault="00F14357" w:rsidP="00F14357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678" w:type="dxa"/>
            <w:noWrap/>
            <w:vAlign w:val="bottom"/>
            <w:hideMark/>
          </w:tcPr>
          <w:p w14:paraId="532FF23B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Kraj pochodzenia</w:t>
            </w:r>
          </w:p>
        </w:tc>
        <w:tc>
          <w:tcPr>
            <w:tcW w:w="1857" w:type="dxa"/>
          </w:tcPr>
          <w:p w14:paraId="716CB5A5" w14:textId="77777777" w:rsidR="00F14357" w:rsidRPr="00F50BF3" w:rsidRDefault="00F14357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1694" w:type="dxa"/>
          </w:tcPr>
          <w:p w14:paraId="72817093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F50BF3" w14:paraId="550B0D78" w14:textId="77777777" w:rsidTr="00BB15BA">
        <w:trPr>
          <w:trHeight w:val="270"/>
        </w:trPr>
        <w:tc>
          <w:tcPr>
            <w:tcW w:w="709" w:type="dxa"/>
          </w:tcPr>
          <w:p w14:paraId="3240FB29" w14:textId="77777777" w:rsidR="00F14357" w:rsidRPr="00F50BF3" w:rsidRDefault="00F14357" w:rsidP="00F14357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678" w:type="dxa"/>
            <w:noWrap/>
            <w:vAlign w:val="bottom"/>
            <w:hideMark/>
          </w:tcPr>
          <w:p w14:paraId="01F01277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 xml:space="preserve">Rok produkcji (nie wcześniej 2025 r., sprzęt fabrycznie  nowy) nie </w:t>
            </w:r>
            <w:proofErr w:type="spellStart"/>
            <w:r w:rsidRPr="00F50BF3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rekondycjonowany</w:t>
            </w:r>
            <w:proofErr w:type="spellEnd"/>
            <w:r w:rsidRPr="00F50BF3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, nie powystawowy</w:t>
            </w:r>
          </w:p>
        </w:tc>
        <w:tc>
          <w:tcPr>
            <w:tcW w:w="1857" w:type="dxa"/>
          </w:tcPr>
          <w:p w14:paraId="7201060A" w14:textId="77777777" w:rsidR="00F14357" w:rsidRPr="00F50BF3" w:rsidRDefault="00F14357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1694" w:type="dxa"/>
          </w:tcPr>
          <w:p w14:paraId="2C51B149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F50BF3" w14:paraId="2595A587" w14:textId="77777777" w:rsidTr="00BB15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2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10872B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1E368B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Możliwość integracji z dostępnym klinicznym systemem informatycznym (CIS), w polskiej wersji językowej, umożliwiającym prowadzenie elektronicznej dokumentacji medycznej i jej ciągłość w zakresie opieki około-intensywnej i około-operacyjnej, zapewniającym przynajmniej: automatyczną akwizycję parametrów życiowych z oferowanych monitorów, ale także: respiratorów, aparatów do znieczulania, pomp infuzyjnych i do terapii nerkozastępczej; dokumentację terapii płynowej i lekowej, obliczanie bilansu płynów, ocenę stanu pacjenta wg. znanych </w:t>
            </w:r>
            <w:proofErr w:type="spellStart"/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skal</w:t>
            </w:r>
            <w:proofErr w:type="spellEnd"/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 ocen (m.in.: APACHE II, GCS, TISS-28, SOFA), tworzenie zleceń lekarskich, dokumentację procesu opieki pielęgniarskiej, generowanie raportów (w tym karta znieczulenia).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1F35A3" w14:textId="77777777" w:rsidR="00F14357" w:rsidRPr="00F50BF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595819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F50BF3" w14:paraId="31852EB5" w14:textId="77777777" w:rsidTr="00BB15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FBFBD7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2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F9521A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System monitorowania pacjenta o budowie modułowej lub kompaktowo-modułowej, w technologii wymiennych modułów podłączanych podczas pracy przez użytkownika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CF97F8" w14:textId="77777777" w:rsidR="00F14357" w:rsidRPr="00F50BF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05EDEB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F50BF3" w14:paraId="5F4F5F75" w14:textId="77777777" w:rsidTr="00BB15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2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5DA387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3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5760B6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Monitor zapewnia monitorowanie pacjenta stacjonarnie i w transporcie: pojedynczy monitor stacjonarno-transportowy lub monitor stacjonarny wyposażony w niewielkich rozmiarów moduł transportowy z ekranem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260AD1" w14:textId="77777777" w:rsidR="00F14357" w:rsidRPr="00F50BF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79F8ED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F50BF3" w14:paraId="3944748F" w14:textId="77777777" w:rsidTr="00BB15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0DF0A9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4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D63F1D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Wszystkie elementy systemu monitorowania pacjenta chłodzone konwekcyjnie, pasywnie - bez użycia wentylatorów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400C75" w14:textId="77777777" w:rsidR="00F14357" w:rsidRPr="00F50BF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2ADBF0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F50BF3" w14:paraId="21639BDA" w14:textId="77777777" w:rsidTr="00BB15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385AC8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5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F736A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System monitorowania pacjenta przeznaczony do monitorowania pacjentów we wszystkich kategoriach wiekowych: dorosłych, dzieci i noworodków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FB6B4B" w14:textId="77777777" w:rsidR="00F14357" w:rsidRPr="00F50BF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500885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F50BF3" w14:paraId="3AF29664" w14:textId="77777777" w:rsidTr="00BB15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5EC341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6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754BEA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Komunikacja z użytkownikiem w języku polskim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EE056E" w14:textId="77777777" w:rsidR="00F14357" w:rsidRPr="00F50BF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533A5B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F50BF3" w14:paraId="5F214A94" w14:textId="77777777" w:rsidTr="00BB15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8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80524C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lastRenderedPageBreak/>
              <w:t>7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E1EA86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Monitor wyposażony w tryb "</w:t>
            </w:r>
            <w:proofErr w:type="spellStart"/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Standby</w:t>
            </w:r>
            <w:proofErr w:type="spellEnd"/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" - tymczasowe wstrzymanie monitorowania pacjenta oraz sygnalizowania alarmów, np. na czas toalety pacjenta lub badania diagnostycznego. Po wznowieniu monitorowania następuje kontynuacja monitorowania tego samego pacjenta bez utraty zapisanych danych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EF0A5E" w14:textId="77777777" w:rsidR="00F14357" w:rsidRPr="00F50BF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E6DA35F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F50BF3" w14:paraId="5A62FDC9" w14:textId="77777777" w:rsidTr="00BB15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5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36EC28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8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0E6C96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Monitor wyposażony w konfigurowalny tryb nocny: uruchamiany automatycznie w wybranych przez użytkownika godzinach. Przełączenie w tryb nocny zapewnia min. obniżenie jasności ekranu oraz poziomu głośności alarmów.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6876DB" w14:textId="77777777" w:rsidR="00F14357" w:rsidRPr="00F50BF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3A48A87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F50BF3" w14:paraId="201D2382" w14:textId="77777777" w:rsidTr="00BB15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7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AEF052" w14:textId="77777777" w:rsidR="00F14357" w:rsidRPr="00F50BF3" w:rsidRDefault="00F14357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Zasilanie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64DA3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F50BF3" w14:paraId="6ACCF69C" w14:textId="77777777" w:rsidTr="00BB15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E7FC09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9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BC9587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Zasilanie sieciowe, zgodne z PN, dostosowane do 230V/50Hz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C10E9E" w14:textId="77777777" w:rsidR="00F14357" w:rsidRPr="00F50BF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5AB48B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F50BF3" w14:paraId="7F54633D" w14:textId="77777777" w:rsidTr="00BB15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1DAEC4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C664DB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Monitor wyposażony w zasilanie akumulatorowe zapewniające przynajmniej 240 minut pracy na wypadek zaniku zasilania lub transportu. W czasie pracy na baterii parametry są wyświetlane na dużym ekranie monitora stacjonarno-transportowego lub stacjonarnego – dopuszcza się realizację tej funkcjonalności przy pomocy zewnętrznego zasilacza UPS klasy medycznej montowanego na stanowisku. W przypadku zewnętrznego zasilacza w ofercie ujęty uchwyt do montażu zasilacza na stanowisku pacjenta.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17DC43" w14:textId="77777777" w:rsidR="00F14357" w:rsidRPr="00F50BF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  <w:r w:rsid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/Podać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699A61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F50BF3" w14:paraId="7294777C" w14:textId="77777777" w:rsidTr="00BB15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7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70107F" w14:textId="77777777" w:rsidR="00F14357" w:rsidRPr="00F50BF3" w:rsidRDefault="00F14357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Praca w sieci centralnego monitorowania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5C35C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F50BF3" w14:paraId="23A90933" w14:textId="77777777" w:rsidTr="00BB15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B8D2CC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11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7BB49B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Możliwość pracy w sieci centralnego monitorowania, zgodnej ze standardem Ethernet.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CC3F48" w14:textId="77777777" w:rsidR="00F14357" w:rsidRPr="00F50BF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A45DA4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F50BF3" w14:paraId="2CC059AE" w14:textId="77777777" w:rsidTr="00BB15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8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D29F97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12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412C92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Monitory umożliwiają wykorzystanie jednej fizycznej infrastruktury teleinformatycznej, w sieci przewodowej i bezprzewodowej, do celu sieci centralnego monitorowania oraz innych aplikacji szpitalnych, w sposób zapewniający bezpieczeństwo i priorytet przesyłania wrażliwych danych medycznych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57D4E3" w14:textId="77777777" w:rsidR="00F14357" w:rsidRPr="00F50BF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8EE3A7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F50BF3" w14:paraId="3BA204A5" w14:textId="77777777" w:rsidTr="00BB15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4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3D4425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13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6C3AC6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Monitory gotowe do współpracy z centralą monitorującą, która umożliwia zdalny nadzór nad oferowanymi monitorami, a także w pełni modułowymi monitorami wysokiej klasy tego samego producenta. Nadzór oznacza podgląd bieżących wartości parametrów, krzywych i stanów alarmowych, możliwość wyciszania alarmów i zmiany granic alarmowych, możliwość retrospektywnej analizy danych (trendów i </w:t>
            </w:r>
            <w:proofErr w:type="spellStart"/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full</w:t>
            </w:r>
            <w:proofErr w:type="spellEnd"/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 </w:t>
            </w:r>
            <w:proofErr w:type="spellStart"/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disclosure</w:t>
            </w:r>
            <w:proofErr w:type="spellEnd"/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)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179706" w14:textId="77777777" w:rsidR="00F14357" w:rsidRPr="00F50BF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097388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F50BF3" w14:paraId="1E98AA56" w14:textId="77777777" w:rsidTr="00BB15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5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98F86B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14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7F0FD6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Monitory wyposażone w funkcję wysyłania parametrów życiowych monitorowanych pacjentów do zewnętrznych systemów, za pośrednictwem protokołu HL7. Funkcja realizowana </w:t>
            </w:r>
            <w:proofErr w:type="spellStart"/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bezpośrenio</w:t>
            </w:r>
            <w:proofErr w:type="spellEnd"/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 przez kardiomonitory lub dedykowany serwer komunikacyjny - ujęty w ofercie.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8F8552" w14:textId="77777777" w:rsidR="00F14357" w:rsidRPr="00F50BF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FA68F1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F50BF3" w14:paraId="5F0B23DF" w14:textId="77777777" w:rsidTr="00BB15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8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CB7557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lastRenderedPageBreak/>
              <w:t>15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616B1D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Monitory umożliwiają zdalny podgląd ekranu innego kardiomonitora pracującego w sieci centralnego monitorowania. Funkcjonalność zależy wyłącznie od funkcjonowania sieci monitorowania i nie wymaga obecności dedykowanych komputerów, serwerów, centrali monitorującej, itp.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570F94" w14:textId="77777777" w:rsidR="00F14357" w:rsidRPr="00F50BF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FD64A7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F50BF3" w14:paraId="7EF90433" w14:textId="77777777" w:rsidTr="00BB15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5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6C0D9C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16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52ED37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Monitory umożliwiają wyświetlanie informacji o alarmach występujących na pozostałych kardiomonitorach pracujących w sieci centralnego monitorowania. Możliwość konfiguracji stanowisk, pomiędzy którymi mają być wymieniane informacje o alarmach.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63451F" w14:textId="77777777" w:rsidR="00F14357" w:rsidRPr="00F50BF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5FB6E9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F50BF3" w14:paraId="6A0F7558" w14:textId="77777777" w:rsidTr="00BB15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2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230699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17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C0EEFB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Możliwość drukowania krzywych, trendów graficznych i numerycznych na podłączonej do sieci centralnego monitorowania tradycyjnej drukarce laserowej - bez konieczności pośredniczenia centrali monitorującej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9CCD06" w14:textId="77777777" w:rsidR="00F14357" w:rsidRPr="00F50BF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2726813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F50BF3" w14:paraId="258282CA" w14:textId="77777777" w:rsidTr="00BB15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7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15A601" w14:textId="77777777" w:rsidR="00F14357" w:rsidRPr="00F50BF3" w:rsidRDefault="00F14357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Sposób montażu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E69ED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F50BF3" w14:paraId="4DAAE761" w14:textId="77777777" w:rsidTr="00BB15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2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E0431F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18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7BB788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W ofercie do każdego monitora uchwyt montażowy do posiadanych paneli ściennych, z możliwością regulacji nachylenia i wysokości. Uchwyty certyfikowane jako wyroby medyczne.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3CA9E2" w14:textId="77777777" w:rsidR="00F14357" w:rsidRPr="00F50BF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4E15E7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F50BF3" w14:paraId="084FD1C5" w14:textId="77777777" w:rsidTr="00BB15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7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7B5160" w14:textId="77777777" w:rsidR="00F14357" w:rsidRPr="00F50BF3" w:rsidRDefault="00F14357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Wymogi funkcjonalne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DA140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F50BF3" w14:paraId="741DE38D" w14:textId="77777777" w:rsidTr="00BB15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2F2AE9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19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8E1D44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Monitor stacjonarny lub stacjonarno-transportowy wyposażony w dotykowy ekran panoramiczny o przekątnej min. 15,6" i rozdzielczości min. 1366 x 768 pikseli.  Umożliwia wyświetlanie przynajmniej 12 krzywych dynamicznych jednocześnie i pełną obsługę funkcji monitorowania pacjenta. Nie dopuszcza się realizacji tej funkcjonalności z wykorzystaniem zewnętrznego, dodatkowego ekranu lub innych rozwiązań zależnych od funkcjonowania sieci informatycznej. Rozmiar ekranu dostępny w czasie monitorowania transportowego min. 6,2".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056D7A" w14:textId="77777777" w:rsidR="00F14357" w:rsidRPr="00F50BF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45CEDE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F50BF3" w14:paraId="5C5207F2" w14:textId="77777777" w:rsidTr="00BB15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AF8E4F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20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F350BB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Możliwość podłączenia dodatkowego ekranu powielającego o przekątnej min. 19”. Ekran podłączany z wykorzystaniem złącza cyfrowego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6CDC37" w14:textId="77777777" w:rsidR="00F14357" w:rsidRPr="00F50BF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49125C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F50BF3" w14:paraId="1E48E8A0" w14:textId="77777777" w:rsidTr="00BB15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2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07B56A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21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C78FEF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Obsługa kardiomonitora poprzez ekran dotykowy lub ekran dotykowy i pokrętło funkcyjne. Możliwość podłączenia czytnika kodów kreskowych (standardowych i QR) do portu USB.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E970EE" w14:textId="77777777" w:rsidR="00F14357" w:rsidRPr="00F50BF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C9E41A3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F50BF3" w14:paraId="1AC0230B" w14:textId="77777777" w:rsidTr="00BB15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1116DE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22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A72D33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Możliwość zaprogramowania min. 7 różnych konfiguracji (profili) monitora, zawierających m.in. ustawienia monitorowanych parametrów oraz widoki ekranów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7DBC64" w14:textId="77777777" w:rsidR="00F14357" w:rsidRPr="00F50BF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B13161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F50BF3" w14:paraId="50ADADCD" w14:textId="77777777" w:rsidTr="00BB15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0D1770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23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49179B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Możliwość wyboru spośród przynajmniej 16 różnych układów (widoków) ekranu, z możliwością edycji i zapisu przynajmniej 6 z nich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1B48B5" w14:textId="77777777" w:rsidR="00F14357" w:rsidRPr="00F50BF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C138D2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F50BF3" w14:paraId="76137FF8" w14:textId="77777777" w:rsidTr="00BB15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F15F53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lastRenderedPageBreak/>
              <w:t>24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E2C26E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Monitor stacjonarno-transportowy lub moduł transportowy przystosowany do warunków transportowych, odporny na upadek z wysokości przynajmniej 0,25m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49B02D" w14:textId="77777777" w:rsidR="00F14357" w:rsidRPr="00F50BF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F8B3B9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F50BF3" w14:paraId="6E600F14" w14:textId="77777777" w:rsidTr="00BB15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213D09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25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2F6A7F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Monitor stacjonarno-transportowy lub moduł transportowy przystosowany do warunków transportowych, klasa odporności na zachlapanie wodą nie gorsza niż IPX2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155704" w14:textId="77777777" w:rsidR="00F14357" w:rsidRPr="00F50BF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B7F5DE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F50BF3" w14:paraId="049DB08E" w14:textId="77777777" w:rsidTr="00BB15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2F57E7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26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4C353A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Masa monitora stacjonarno-transportowego lub modułu transportowego wraz z wbudowanym ekranem oraz akumulatorem nie przekracza 5,5 kg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A2B2BC" w14:textId="77777777" w:rsidR="00F14357" w:rsidRPr="00F50BF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3AFA6C6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F50BF3" w14:paraId="1424D86F" w14:textId="77777777" w:rsidTr="00BB15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1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8AFB06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27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CCDAF0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Monitor stacjonarno-transportowy lub moduł transportowy umożliwia kontynuację monitorowania w czasie transportu przynajmniej następujących parametrów (zgodnie z ich wymogami opisanymi w dalszej części specyfikacji): EKG, SpO2, NIBP, 2x Temp., 2x IBP, z możliwością rozbudowy o pomiar CO2 w strumieniu bocznym, w zależności od podłączonych modułów pomiarowych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F80725" w14:textId="77777777" w:rsidR="00F14357" w:rsidRPr="00F50BF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370E1B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F50BF3" w14:paraId="4336968B" w14:textId="77777777" w:rsidTr="00BB15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7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648FDDC2" w14:textId="77777777" w:rsidR="00F14357" w:rsidRPr="00F50BF3" w:rsidRDefault="00F14357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Monitorowane parametry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7E3B4798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F50BF3" w14:paraId="370DC174" w14:textId="77777777" w:rsidTr="00BB15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3A23F2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28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81BF65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EKG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9886A5" w14:textId="77777777" w:rsidR="00F14357" w:rsidRPr="00F50BF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7232A6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F50BF3" w14:paraId="0DF65594" w14:textId="77777777" w:rsidTr="00BB15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C34CFE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29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6D7B8C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Monitorowanie przynajmniej 1 z 3, 7 i 12 </w:t>
            </w:r>
            <w:proofErr w:type="spellStart"/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odprowadzeń</w:t>
            </w:r>
            <w:proofErr w:type="spellEnd"/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, z jakością diagnostyczną, w zależności od użytego przewodu EKG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298A72" w14:textId="77777777" w:rsidR="00F14357" w:rsidRPr="00F50BF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B0F00F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F50BF3" w14:paraId="23FF032C" w14:textId="77777777" w:rsidTr="00BB15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3DD858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30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A1900B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Jednoczesna prezentacja przynajmniej 3 kanałów EKG na ekranie głównym kardiomonitora: 3 różne odprowadzenia lub 1 odprowadzenie w formie kaskady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1FDB4E" w14:textId="77777777" w:rsidR="00F14357" w:rsidRPr="00F50BF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2CE2A1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F50BF3" w14:paraId="57EFE37A" w14:textId="77777777" w:rsidTr="00BB15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2980CF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31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3F462A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Pomiar częstości akcji serca w zakresie min. 20 - 300 ud/min. z dokładnością +/- 1% lub +/- 1ud/min.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737F3E" w14:textId="77777777" w:rsidR="00F14357" w:rsidRPr="00F50BF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E53A07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F50BF3" w14:paraId="4E15F4D5" w14:textId="77777777" w:rsidTr="00BB15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F69D5B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32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FF8454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W komplecie do każdego monitora: przewód do podłączenia 5- elektrod dla dorosłych i dzieci. Długość przewodów przynajmniej 3m.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843CF1" w14:textId="77777777" w:rsidR="00F14357" w:rsidRPr="00F50BF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22CCC2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F50BF3" w14:paraId="060F3052" w14:textId="77777777" w:rsidTr="00BB15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5E7EB9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33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3055E6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Analiza arytmii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5C3876" w14:textId="77777777" w:rsidR="00F14357" w:rsidRPr="00F50BF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EEF3E3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F50BF3" w14:paraId="54861155" w14:textId="77777777" w:rsidTr="00BB15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BD8000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34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E43B0A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proofErr w:type="spellStart"/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Wieloodprowadzeniowa</w:t>
            </w:r>
            <w:proofErr w:type="spellEnd"/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 analiza arytmii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B9F3EF" w14:textId="77777777" w:rsidR="00F14357" w:rsidRPr="00F50BF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CFD0B3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F50BF3" w14:paraId="1F237E0A" w14:textId="77777777" w:rsidTr="00BB15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8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53CD76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35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FDEAB4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Zaawansowana analiza arytmii wg przynajmniej 12 definicji z rozpoznawaniem arytmii komorowych i przedsionkowych, w tym A </w:t>
            </w:r>
            <w:proofErr w:type="spellStart"/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Fib</w:t>
            </w:r>
            <w:proofErr w:type="spellEnd"/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 i SV </w:t>
            </w:r>
            <w:proofErr w:type="spellStart"/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Tachy</w:t>
            </w:r>
            <w:proofErr w:type="spellEnd"/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. Dopuszcza się realizację tej funkcjonalności przez zewnętrzny aparat EKG z trybem pomiaru ciągłego - w takiej sytuacji należy zaoferować 1 szt. takiego aparatu na każdy oferowany kardiomonitor.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21D620" w14:textId="77777777" w:rsidR="00F14357" w:rsidRPr="00F50BF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20888D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F50BF3" w14:paraId="692D5881" w14:textId="77777777" w:rsidTr="00BB15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A70001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36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B7ECF2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Analiza ST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09DDCD" w14:textId="77777777" w:rsidR="00F14357" w:rsidRPr="00F50BF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88ECBCE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F50BF3" w14:paraId="3EC01316" w14:textId="77777777" w:rsidTr="00BB15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A92F53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37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892A30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Analiza odcinka ST w 12 </w:t>
            </w:r>
            <w:proofErr w:type="spellStart"/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odprowadzeniach</w:t>
            </w:r>
            <w:proofErr w:type="spellEnd"/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 jednocześnie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2465A1" w14:textId="77777777" w:rsidR="00F14357" w:rsidRPr="00F50BF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85BA470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F50BF3" w14:paraId="2F29F53D" w14:textId="77777777" w:rsidTr="00BB15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A907E2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38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A06197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Zakres pomiarowy analizy odcinka ST min. -15,0 -(+) 15,0 mm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CC9454" w14:textId="77777777" w:rsidR="00F14357" w:rsidRPr="00F50BF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633661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F50BF3" w14:paraId="6ECADA32" w14:textId="77777777" w:rsidTr="00BB15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B2025E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39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11CEDB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Oddech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396107" w14:textId="77777777" w:rsidR="00F14357" w:rsidRPr="00F50BF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4C2F98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F50BF3" w14:paraId="61576C5D" w14:textId="77777777" w:rsidTr="00BB15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21934B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40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1C8A12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Pomiar częstości oddechu metodą impedancyjną w zakresie min. 4-120 </w:t>
            </w:r>
            <w:proofErr w:type="spellStart"/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odd</w:t>
            </w:r>
            <w:proofErr w:type="spellEnd"/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/min.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E9CF0D" w14:textId="77777777" w:rsidR="00F14357" w:rsidRPr="00F50BF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B8D886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F50BF3" w14:paraId="1B67369A" w14:textId="77777777" w:rsidTr="00BB15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E503E6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41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D37FC5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Prezentacja częstości oddechu oraz krzywej oddechowej 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D99417" w14:textId="77777777" w:rsidR="00F14357" w:rsidRPr="00F50BF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130302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F50BF3" w14:paraId="698E21F1" w14:textId="77777777" w:rsidTr="00BB15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A66160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lastRenderedPageBreak/>
              <w:t>42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F278E4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Saturacja (SpO2)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149493" w14:textId="77777777" w:rsidR="00F14357" w:rsidRPr="00F50BF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94ABC3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F50BF3" w14:paraId="10DCD8BE" w14:textId="77777777" w:rsidTr="00BB15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B90D0B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43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362774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Pomiar wysycenia hemoglobiny tlenem, z wykorzystaniem algorytmu odpornego na niską perfuzję i artefakty ruchowe: </w:t>
            </w:r>
            <w:proofErr w:type="spellStart"/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TruSignal</w:t>
            </w:r>
            <w:proofErr w:type="spellEnd"/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 lub </w:t>
            </w:r>
            <w:proofErr w:type="spellStart"/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Masimo</w:t>
            </w:r>
            <w:proofErr w:type="spellEnd"/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 </w:t>
            </w:r>
            <w:proofErr w:type="spellStart"/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rainbow</w:t>
            </w:r>
            <w:proofErr w:type="spellEnd"/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 SET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94596A" w14:textId="77777777" w:rsidR="00F14357" w:rsidRPr="00F50BF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373443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F50BF3" w14:paraId="5A4ED1EA" w14:textId="77777777" w:rsidTr="00BB15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73A1CE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44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1318D5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Pomiar saturacji w zakresie min. 70-100%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AC5150" w14:textId="77777777" w:rsidR="00F14357" w:rsidRPr="00F50BF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B82ACD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F50BF3" w14:paraId="6DD8E60F" w14:textId="77777777" w:rsidTr="00BB15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D7D6E0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45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5B1330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Prezentacja wartości saturacji, krzywej </w:t>
            </w:r>
            <w:proofErr w:type="spellStart"/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pletyzmograficznej</w:t>
            </w:r>
            <w:proofErr w:type="spellEnd"/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 i wskaźnika perfuzji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FBDAAE" w14:textId="77777777" w:rsidR="00F14357" w:rsidRPr="00F50BF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00E833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F50BF3" w14:paraId="24232E65" w14:textId="77777777" w:rsidTr="00BB15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FEBF44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46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FC6A3F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Możliwość wyboru SPO2 jako źródła częstości rytmu serca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84C4DD" w14:textId="77777777" w:rsidR="00F14357" w:rsidRPr="00F50BF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80FAD2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F50BF3" w14:paraId="2B214585" w14:textId="77777777" w:rsidTr="00BB15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B7A5F1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47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65F2CE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Modulacja dźwięku tętna przy zmianie wartości % SpO2.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20A42D" w14:textId="77777777" w:rsidR="00F14357" w:rsidRPr="00F50BF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4715EE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F50BF3" w14:paraId="2C2B426E" w14:textId="77777777" w:rsidTr="00BB15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2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74D51C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48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206C30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W komplecie do każdego monitora: przewód podłączeniowy dł. min. 3m oraz wielorazowy czujnik na palec dla dorosłych. Oryginalne akcesoria pomiarowe producenta algorytmu pomiarowego.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E33F2F" w14:textId="77777777" w:rsidR="00F14357" w:rsidRPr="00F50BF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FBCE6E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F50BF3" w14:paraId="3076FB89" w14:textId="77777777" w:rsidTr="00BB15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A04217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49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1434D0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Pomiar ciśnienia metodą nieinwazyjną (NIBP)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3ADBD8" w14:textId="77777777" w:rsidR="00F14357" w:rsidRPr="00F50BF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109D7F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F50BF3" w14:paraId="4036D8C6" w14:textId="77777777" w:rsidTr="00BB15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9C8DE9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50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FD0701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Pomiar ciśnienia tętniczego metodą oscylometryczną.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025F4B" w14:textId="77777777" w:rsidR="00F14357" w:rsidRPr="00F50BF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0EA75A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F50BF3" w14:paraId="3038CFBC" w14:textId="77777777" w:rsidTr="00BB15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26FCCC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51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BCE1EB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Pomiar ręczny na żądanie, ciągły przez określony czas oraz automatyczny. Zakres przedziałów czasowych w trybie automatycznym przynajmniej 1 - 120 minut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33DCF9" w14:textId="77777777" w:rsidR="00F14357" w:rsidRPr="00F50BF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B105CF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F50BF3" w14:paraId="74E2D3AF" w14:textId="77777777" w:rsidTr="00BB15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862A9A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52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1D1E7A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Funkcja </w:t>
            </w:r>
            <w:proofErr w:type="spellStart"/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stazy</w:t>
            </w:r>
            <w:proofErr w:type="spellEnd"/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 żylnej.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270192" w14:textId="77777777" w:rsidR="00F14357" w:rsidRPr="00F50BF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73E9F3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F50BF3" w14:paraId="64CACE47" w14:textId="77777777" w:rsidTr="00BB15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DFDA8F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53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D06EB2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Pomiar ciśnienia w zakresie przynajmniej od 10 mmHg dla ciśnienia rozkurczowego do 250 mmHg dla ciśnienia skurczowego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339F32" w14:textId="77777777" w:rsidR="00F14357" w:rsidRPr="00F50BF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6F16CE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F50BF3" w14:paraId="44DD014D" w14:textId="77777777" w:rsidTr="00BB15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5853EE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54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98BF01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Prezentacja wartości: skurczowej, rozkurczowej oraz średniej.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E478A2" w14:textId="77777777" w:rsidR="00F14357" w:rsidRPr="00F50BF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F4AEA7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F50BF3" w14:paraId="1C6E209E" w14:textId="77777777" w:rsidTr="00BB15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2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87CF7F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55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3023E4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W komplecie do każdego monitora: wężyk z </w:t>
            </w:r>
            <w:proofErr w:type="spellStart"/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szybkozłączką</w:t>
            </w:r>
            <w:proofErr w:type="spellEnd"/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 dla dorosłych/dzieci oraz 3 mankiety wielorazowe dla dorosłych (w 3 różnych rozmiarach). Dodatkowo na całą instalację 20 szt. mankietów dla pacjentów otyłych.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DD92E7" w14:textId="77777777" w:rsidR="00F14357" w:rsidRPr="00F50BF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59A726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F50BF3" w14:paraId="033AE158" w14:textId="77777777" w:rsidTr="00BB15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E60FA3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56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F2A991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Temperatura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601935" w14:textId="77777777" w:rsidR="00F14357" w:rsidRPr="00F50BF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B3F7EC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F50BF3" w14:paraId="7CC4E9D4" w14:textId="77777777" w:rsidTr="00BB15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E3A0D3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57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9D6671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Pomiar temperatury w 2 kanałach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6FD8D4" w14:textId="77777777" w:rsidR="00F14357" w:rsidRPr="00F50BF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DE1B29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F50BF3" w14:paraId="16C67CE9" w14:textId="77777777" w:rsidTr="00BB15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2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4B66A0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58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ACBE4C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Jednoczesna prezentacja w polu parametru temperatury na ekranie głównym monitora stacjonarnego min. 2 wartości temperatury jednocześnie: obu zmierzonych lub jednej zmierzonej i różnicy temperatur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0D4FF7" w14:textId="77777777" w:rsidR="00F14357" w:rsidRPr="00F50BF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C16EDB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F50BF3" w14:paraId="3093E0F2" w14:textId="77777777" w:rsidTr="00BB15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B2B6B5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59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182334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Możliwość ustawienia etykiet temperatur wg. miejsca pomiaru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0B7FD7" w14:textId="77777777" w:rsidR="00F14357" w:rsidRPr="00F50BF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346858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F50BF3" w14:paraId="354CD843" w14:textId="77777777" w:rsidTr="00BB15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2969D3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60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CD8930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W komplecie do każdego monitora: wielorazowy czujnik temperatury skóry.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14BF7D" w14:textId="77777777" w:rsidR="00F14357" w:rsidRPr="00F50BF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032270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F50BF3" w14:paraId="48806345" w14:textId="77777777" w:rsidTr="00BB15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11574F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61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4F4ACB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Pomiar ciśnienia metodą inwazyjną (IBP)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F50019" w14:textId="77777777" w:rsidR="00F14357" w:rsidRPr="00F50BF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119B52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F50BF3" w14:paraId="22BC4844" w14:textId="77777777" w:rsidTr="00BB15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6D16AD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62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0B9EB2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Pomiar ciśnienia metodą inwazyjną w 2 kanałach. Możliwość rozbudowy do przynajmniej 3 kanałów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D4072D" w14:textId="77777777" w:rsidR="00F14357" w:rsidRPr="00F50BF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24401B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F50BF3" w14:paraId="1D324DD5" w14:textId="77777777" w:rsidTr="00BB15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2D274E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63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49A391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Pomiar ciśnienia w zakresie przynajmniej -20 do 320 mmHg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14CF6A" w14:textId="77777777" w:rsidR="00F14357" w:rsidRPr="00F50BF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65D1E6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F50BF3" w14:paraId="1AA1BB50" w14:textId="77777777" w:rsidTr="00BB15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E09FB9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64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5C50A7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Możliwość monitorowania i wyboru nazw różnych ciśnień, w tym ciśnienia śródczaszkowego, wraz z automatycznym doborem skali i ustawień dla poszczególnych ciśnień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8EE557" w14:textId="77777777" w:rsidR="00F14357" w:rsidRPr="00F50BF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01302A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F50BF3" w14:paraId="20CC5AAD" w14:textId="77777777" w:rsidTr="00BB15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9BAFDF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lastRenderedPageBreak/>
              <w:t>65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B6E69C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Pomiar parametru PPV: automatyczny lub ręczny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B9DE64" w14:textId="77777777" w:rsidR="00F14357" w:rsidRPr="00F50BF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957593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F50BF3" w14:paraId="3AE9F255" w14:textId="77777777" w:rsidTr="00BB15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7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5ABF6342" w14:textId="77777777" w:rsidR="00F14357" w:rsidRPr="00F50BF3" w:rsidRDefault="00F14357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Możliwości rozbudowy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7B4FAE98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F50BF3" w14:paraId="15010B35" w14:textId="77777777" w:rsidTr="00BB15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027D1F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66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86EAB9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Możliwość rozbudowy o monitorowanie gazowe w strumieniu bocznym, min.: CO2, O2, N2O i anestetyków z </w:t>
            </w:r>
            <w:proofErr w:type="spellStart"/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automatyczą</w:t>
            </w:r>
            <w:proofErr w:type="spellEnd"/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 identyfikacją środka znieczulającego oraz prezentacją MAC / </w:t>
            </w:r>
            <w:proofErr w:type="spellStart"/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MACage</w:t>
            </w:r>
            <w:proofErr w:type="spellEnd"/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. Pomiary możliwe u pacjentów zaintubowanych i niezaintubowanych. Pomiar realizowany z wykorzystaniem modułu oferowanego systemu monitorowania, przenoszonego pomiędzy stanowiskami, zapewniającego wyświetlanie monitorowanych parametrów na ekranie monitora i pełną obsługę funkcji monitorowania i alarmowania za pośrednictwem ekranu monitora pacjenta.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E79A97" w14:textId="77777777" w:rsidR="00F14357" w:rsidRPr="00F50BF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227577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F50BF3" w14:paraId="487617B3" w14:textId="77777777" w:rsidTr="00BB15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4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17B3D6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67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5B12CC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Możliwość rozbudowy o pomiar rzutu minutowego serca z wykorzystaniem cewnika </w:t>
            </w:r>
            <w:proofErr w:type="spellStart"/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Swana-Ganza</w:t>
            </w:r>
            <w:proofErr w:type="spellEnd"/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. Pomiar realizowany z wykorzystaniem modułu oferowanego systemu monitorowania, przenoszonego pomiędzy stanowiskami, zapewniającego wyświetlanie monitorowanych parametrów na ekranie monitora i pełną obsługę funkcji monitorowania i alarmowania za pośrednictwem ekranu monitora pacjenta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ED1831" w14:textId="77777777" w:rsidR="00F14357" w:rsidRPr="00F50BF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C5E1D9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F50BF3" w14:paraId="2CC20933" w14:textId="77777777" w:rsidTr="00BB15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5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780E02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68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BE56B8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Możliwość rozbudowy o podłączenie aparatu do znieczulania, zapewniające prezentację na ekranie kardiomonitora wartości parametrów i krzywych dynamicznych oraz sygnalizację alarmów. Dane przesyłane dalej do systemu centralnego monitorowania.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118B37" w14:textId="77777777" w:rsidR="00F14357" w:rsidRPr="00F50BF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168390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F50BF3" w14:paraId="0F3BB851" w14:textId="77777777" w:rsidTr="00BB15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7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E7B3DC" w14:textId="77777777" w:rsidR="00F14357" w:rsidRPr="00F50BF3" w:rsidRDefault="00F14357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Alarmy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BB998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F50BF3" w14:paraId="714DEEFC" w14:textId="77777777" w:rsidTr="00BB15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1AA278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69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D77B0E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Alarmy przynajmniej 3-stopniowe, sygnalizowane wizualnie i dźwiękowo, z wizualizacją parametru, który wywołał alarm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98C165" w14:textId="77777777" w:rsidR="00F14357" w:rsidRPr="00F50BF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402812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F50BF3" w14:paraId="7881F4C4" w14:textId="77777777" w:rsidTr="00BB15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D63F71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70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4CC2AC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Możliwość zmiany priorytetu alarmów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D4F42F" w14:textId="77777777" w:rsidR="00F14357" w:rsidRPr="00F50BF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A895A6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F50BF3" w14:paraId="5B466443" w14:textId="77777777" w:rsidTr="00BB15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97FFE3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71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406488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Alarmy techniczne z podaniem przyczyny.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5D90AB" w14:textId="77777777" w:rsidR="00F14357" w:rsidRPr="00F50BF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83D31B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F50BF3" w14:paraId="7C7B341C" w14:textId="77777777" w:rsidTr="00BB15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8133AF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72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A89625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Granice alarmowe regulowane ręcznie - przez użytkownika, i automatycznie (na żądanie) - na podstawie bieżących wartości parametrów.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94CD8C" w14:textId="77777777" w:rsidR="00F14357" w:rsidRPr="00F50BF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9E7856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F50BF3" w14:paraId="6E2686C2" w14:textId="77777777" w:rsidTr="00BB15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8B1135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73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1FDB9E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Granice regulowane indywidualnie - w oknach poszczególnych parametrów - oraz zbiorczo, w oknie ustawień alarmów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39338A" w14:textId="77777777" w:rsidR="00F14357" w:rsidRPr="00F50BF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7AE169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F50BF3" w14:paraId="5BA46F97" w14:textId="77777777" w:rsidTr="00BB15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0CA601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74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495300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Możliwość wyciszenia alarmów. Czas wyciszenia alarmów przynajmniej: 2 minuty oraz bez limitu czasowego.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01EA49" w14:textId="77777777" w:rsidR="00F14357" w:rsidRPr="00F50BF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  <w:r w:rsid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/Podać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85D0B4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F50BF3" w14:paraId="046E4631" w14:textId="77777777" w:rsidTr="00BB15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5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59EAC4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75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904528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Monitor wyposażony w pamięć przynajmniej 100 zdarzeń alarmowych zawierających wycinki krzywych dynamicznych. Zdarzenia zapisywane automatycznie - w chwili wystąpienia zdarzenia alarmowego, a także ręcznie - po naciśnięciu odpowiedniego przycisku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B9F536" w14:textId="77777777" w:rsidR="00F14357" w:rsidRPr="00F50BF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  <w:r w:rsid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/</w:t>
            </w:r>
            <w:proofErr w:type="spellStart"/>
            <w:r w:rsid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POdać</w:t>
            </w:r>
            <w:proofErr w:type="spellEnd"/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00DEBF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F50BF3" w14:paraId="1C8A112D" w14:textId="77777777" w:rsidTr="00BB15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7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87827F" w14:textId="77777777" w:rsidR="00F14357" w:rsidRPr="00F50BF3" w:rsidRDefault="00F14357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Analiza danych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5FA90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F50BF3" w14:paraId="5C0EF28D" w14:textId="77777777" w:rsidTr="00BB15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C19AED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lastRenderedPageBreak/>
              <w:t>76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615D0C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Stanowisko monitorowania pacjenta wyposażone w pamięć trendów z ostatnich min. 96 godzin.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3B8562" w14:textId="77777777" w:rsidR="00F14357" w:rsidRPr="00F50BF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78A2EC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F50BF3" w14:paraId="57C0FAE7" w14:textId="77777777" w:rsidTr="00BB15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7BFB9D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77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70A18E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Możliwość wyświetlania trendów w formie graficznej i tabelarycznej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F2B786" w14:textId="77777777" w:rsidR="00F14357" w:rsidRPr="00F50BF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47781F2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F50BF3" w14:paraId="108489C7" w14:textId="77777777" w:rsidTr="00BB15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7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14:paraId="21664F87" w14:textId="77777777" w:rsidR="00F14357" w:rsidRPr="00F50BF3" w:rsidRDefault="00F14357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Centrala monitorująca - 1 </w:t>
            </w:r>
            <w:proofErr w:type="spellStart"/>
            <w:r w:rsidRPr="00F50BF3">
              <w:rPr>
                <w:rFonts w:ascii="Century Gothic" w:eastAsia="Times New Roman" w:hAnsi="Century Gothic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szt</w:t>
            </w:r>
            <w:proofErr w:type="spellEnd"/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6D05BF30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F50BF3" w14:paraId="3C0FCA23" w14:textId="77777777" w:rsidTr="00BB15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A65C27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78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14:paraId="542A1B3C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Opis ogólny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E63A92E" w14:textId="77777777" w:rsidR="00F14357" w:rsidRPr="00F50BF3" w:rsidRDefault="00F14357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5E487E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F50BF3" w14:paraId="065A4419" w14:textId="77777777" w:rsidTr="00BB15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CA7BAE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79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F797B5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Stanowisko centralnego monitorowania w formie komputera z ekranem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383B7E6" w14:textId="77777777" w:rsidR="00F14357" w:rsidRPr="00F50BF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32AE6B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F50BF3" w14:paraId="37297F11" w14:textId="77777777" w:rsidTr="00BB15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F3250F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80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E19035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Stanowisko centralnego monitorowania wyposażone w awaryjne podtrzymanie zasilania na przynajmniej 20 minut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1662057" w14:textId="77777777" w:rsidR="00F14357" w:rsidRPr="00F50BF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  <w:r w:rsid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/Podać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F37057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F50BF3" w14:paraId="33F616FE" w14:textId="77777777" w:rsidTr="00BB15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FC7143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81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91F91E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Stanowisko centralnego monitorowania wyposażone 2 ekrany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30EF5AD" w14:textId="77777777" w:rsidR="00F14357" w:rsidRPr="00F50BF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F3B867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F50BF3" w14:paraId="5A39E138" w14:textId="77777777" w:rsidTr="00BB15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DCE45F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82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31B8AC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Ekrany stanowiska centralnego monitorowania LCD, panoramiczne, o przekątnej min. 21,5". Rozdzielczość przynajmniej 1680x1050 pikseli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186861C" w14:textId="77777777" w:rsidR="00F14357" w:rsidRPr="00F50BF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D3D909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F50BF3" w14:paraId="41A2BB66" w14:textId="77777777" w:rsidTr="00BB15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820EF6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83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84F512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Sterowanie funkcjami centrali poprzez mysz i klawiaturę USB.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0BA7733" w14:textId="77777777" w:rsidR="00F14357" w:rsidRPr="00F50BF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7BBA31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F50BF3" w14:paraId="2A3EC420" w14:textId="77777777" w:rsidTr="00BB15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FC0A7A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84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14:paraId="522ABCAA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Opis funkcjonalny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C94B780" w14:textId="77777777" w:rsidR="00F14357" w:rsidRPr="00F50BF3" w:rsidRDefault="00F14357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507901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F50BF3" w14:paraId="4EA61D5B" w14:textId="77777777" w:rsidTr="00BB15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F6D246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85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ED96B4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Stanowisko centralnego monitorowania zapewnia jednoczesny podgląd 7 oferowanych kardiomonitorów, z możliwością przyszłej rozbudowy o kolejne stanowiska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4BB57F8" w14:textId="77777777" w:rsidR="00F14357" w:rsidRPr="00F50BF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2ACA77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F50BF3" w14:paraId="2F61D754" w14:textId="77777777" w:rsidTr="00BB15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2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C11C00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86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5C1413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Stanowisko centralnego monitorowania zapewnia jednoczesny podgląd min. 4 krzywych dynamicznych dla każdego monitorowanego pacjenta, na ekranie zbiorczego podglądu pacjentów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37B0235" w14:textId="77777777" w:rsidR="00F14357" w:rsidRPr="00F50BF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1074E9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F50BF3" w14:paraId="5E89663A" w14:textId="77777777" w:rsidTr="00BB15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8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8E6C55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87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DEE946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Stanowisko centralnego monitorowania umożliwia szczegółowy podgląd wybranego pacjenta: mierzone krzywe dynamiczne i skojarzone parametry, szczegółowy podgląd danych archiwalnych: trendów tablicowych, graficznych, pełnych przebiegów krzywych dynamicznych (Full </w:t>
            </w:r>
            <w:proofErr w:type="spellStart"/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Disclosure</w:t>
            </w:r>
            <w:proofErr w:type="spellEnd"/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) oraz historii zdarzeń alarmowych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BA7E797" w14:textId="77777777" w:rsidR="00F14357" w:rsidRPr="00F50BF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6C586F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F50BF3" w14:paraId="582ABB4A" w14:textId="77777777" w:rsidTr="00BB15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2398FC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88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B0D42F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Stanowisko centralnego monitorowania umożliwia podgląd min. 72 godzin trendów dla każdego pacjenta. Trendy tabelaryczne oraz graficzne.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2C90AB4" w14:textId="77777777" w:rsidR="00F14357" w:rsidRPr="00F50BF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AC905A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F50BF3" w14:paraId="7C75F6B3" w14:textId="77777777" w:rsidTr="00BB15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5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5FE39D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89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AC0727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Stanowisko centralnego monitorowania wyposażone w wewnętrzną pamięć pełnych przebiegów krzywych dynamicznych (Full </w:t>
            </w:r>
            <w:proofErr w:type="spellStart"/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Disclosure</w:t>
            </w:r>
            <w:proofErr w:type="spellEnd"/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): min. 120 godzin przynajmniej 12-tu krzywych dynamicznych (nie tylko EKG) dla każdego pacjenta.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19B4C98" w14:textId="77777777" w:rsidR="00F14357" w:rsidRPr="00F50BF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D62C7F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F50BF3" w14:paraId="533C4C93" w14:textId="77777777" w:rsidTr="00BB15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2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8626D0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90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8BE815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Stanowisko centralnego monitorowania umożliwia wykonywanie szczegółowych pomiarów krzywych dynamicznych (w tym zespołów QRS, odchylenia ST) z wykorzystaniem ekranowego narzędzia (np. suwmiarki).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7534465" w14:textId="77777777" w:rsidR="00F14357" w:rsidRPr="00F50BF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73BD91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F50BF3" w14:paraId="55506067" w14:textId="77777777" w:rsidTr="00BB15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5288A1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91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50718A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Stanowisko centralnego monitorowania wyposażone w wewnętrzną pamięć zdarzeń alarmowych: min. 1000 zdarzeń na każdego monitorowanego pacjenta. 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12087F0" w14:textId="77777777" w:rsidR="00F14357" w:rsidRPr="00F50BF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0BBCA1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F50BF3" w14:paraId="4E8E6BAB" w14:textId="77777777" w:rsidTr="00BB15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2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8F34A6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lastRenderedPageBreak/>
              <w:t>92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E386FE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Stanowisko centralnego monitorowania zapewnia wyświetlanie alarmów ze wszystkich monitorowanych łóżek. Alarmy przynajmniej 3-stopniowe, rozróżniane wizualnie i dźwiękowo, z identyfikacją alarmującego łóżka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2BE8B14" w14:textId="77777777" w:rsidR="00F14357" w:rsidRPr="00F50BF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EA38B5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F50BF3" w14:paraId="063E5873" w14:textId="77777777" w:rsidTr="00BB15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C56FE3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93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623F77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Stanowisko centralnego monitorowania umożliwia konfigurację granic alarmowych, a także wyciszanie bieżących stanów alarmowych w monitorach pacjenta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9299691" w14:textId="77777777" w:rsidR="00F14357" w:rsidRPr="00F50BF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820674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F50BF3" w14:paraId="111EFE03" w14:textId="77777777" w:rsidTr="00BB15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8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D3F21F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94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FC4788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Stanowisko centralnego monitorowania umożliwia zdalne przyjmowanie pacjenta w kardiomonitorze poprzez wprowadzenie jego danych demograficznych za pośrednictwem klawiatury. Wprowadzenie danych w centrali powoduje ich aktualizację na ekranie kardiomonitora.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251160E" w14:textId="77777777" w:rsidR="00F14357" w:rsidRPr="00F50BF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C7F56D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F50BF3" w14:paraId="261828A9" w14:textId="77777777" w:rsidTr="00BB15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5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038165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95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87E465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System centralnego monitorowania umożliwia rozbudowę o funkcję pobierania danych demograficznych pacjenta ze szpitalnego systemu informatycznego (HIS), za pośrednictwem protokołu HL7, w celu uproszczenia procesu przyjęcia.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A51D554" w14:textId="77777777" w:rsidR="00F14357" w:rsidRPr="00F50BF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71BACE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F50BF3" w14:paraId="7C2D92CD" w14:textId="77777777" w:rsidTr="00BB15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5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DC9B3D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96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3C28D9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Stanowisko centralnego monitorowania umożliwia drukowanie raportów, trendów i zapisów za pomocą sieciowej drukarki laserowej. W ofercie ujęta drukarka sieciowa kompatybilna z centralą – po jednej do każdego stanowiska centralnego monitorowania.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FF7D912" w14:textId="77777777" w:rsidR="00F14357" w:rsidRPr="00F50BF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4F6DA1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F50BF3" w14:paraId="399DEF85" w14:textId="77777777" w:rsidTr="00BB15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5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65B017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97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2158AC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System centralnego monitorowania umożliwia rozbudowę o funkcję wysyłania parametrów życiowych monitorowanych przez oferowane kardiomonitory do szpitalnego systemu informatycznego, za pośrednictwem protokołu HL7, w celu ich archiwizacji.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5536AC5" w14:textId="77777777" w:rsidR="00F14357" w:rsidRPr="00F50BF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33C875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F50BF3" w14:paraId="535BE1CE" w14:textId="77777777" w:rsidTr="00BB15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1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FA91F0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98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BD8F1B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System centralnego monitorowania umożliwia rozbudowę o zdalny podgląd monitorowanych pacjentów w czasie zbliżonym do rzeczywistego, za pośrednictwem komputerów PC z systemem Windows podłączonych do sieci informatycznej szpitala. Dostępny podgląd bieżących wartości parametrów, podgląd krzywych dynamicznych, a także trendów tabelarycznych.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82806CD" w14:textId="77777777" w:rsidR="00F14357" w:rsidRPr="00F50BF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299DA63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</w:tbl>
    <w:p w14:paraId="06F26D83" w14:textId="77777777" w:rsidR="00EE0AAF" w:rsidRPr="00F50BF3" w:rsidRDefault="00EE0AAF" w:rsidP="00F14357">
      <w:pPr>
        <w:spacing w:line="360" w:lineRule="auto"/>
        <w:rPr>
          <w:rFonts w:ascii="Century Gothic" w:hAnsi="Century Gothic"/>
          <w:sz w:val="16"/>
          <w:szCs w:val="16"/>
        </w:rPr>
      </w:pPr>
    </w:p>
    <w:tbl>
      <w:tblPr>
        <w:tblW w:w="892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44"/>
        <w:gridCol w:w="4638"/>
        <w:gridCol w:w="1843"/>
        <w:gridCol w:w="1701"/>
      </w:tblGrid>
      <w:tr w:rsidR="00BB15BA" w:rsidRPr="00F50BF3" w14:paraId="042B94A1" w14:textId="77777777" w:rsidTr="00BB15BA">
        <w:trPr>
          <w:trHeight w:val="285"/>
        </w:trPr>
        <w:tc>
          <w:tcPr>
            <w:tcW w:w="89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D5FED9E" w14:textId="77777777" w:rsidR="00BB15BA" w:rsidRPr="00F50BF3" w:rsidRDefault="00BB15BA" w:rsidP="00083036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  <w:bookmarkStart w:id="0" w:name="_Hlk211005653"/>
            <w:r w:rsidRPr="00F50BF3">
              <w:rPr>
                <w:rFonts w:ascii="Century Gothic" w:eastAsia="Times New Roman" w:hAnsi="Century Gothic" w:cs="Arial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  <w:t xml:space="preserve">Wymagania dodatkowe </w:t>
            </w:r>
          </w:p>
        </w:tc>
      </w:tr>
      <w:tr w:rsidR="00BB15BA" w:rsidRPr="00F50BF3" w14:paraId="5C67E656" w14:textId="77777777" w:rsidTr="00BB15BA">
        <w:trPr>
          <w:trHeight w:val="810"/>
        </w:trPr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189E1" w14:textId="77777777" w:rsidR="00BB15BA" w:rsidRPr="00F50BF3" w:rsidRDefault="00BB15BA" w:rsidP="00BB15BA">
            <w:pPr>
              <w:pStyle w:val="Akapitzlist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348B7" w14:textId="77777777" w:rsidR="00BB15BA" w:rsidRPr="00F50BF3" w:rsidRDefault="00BB15BA" w:rsidP="00BB15BA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>Wymagania Zamawiającego (warunek)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9755C" w14:textId="77777777" w:rsidR="00BB15BA" w:rsidRPr="00F50BF3" w:rsidRDefault="00BB15BA" w:rsidP="00BB15BA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>Parametr/ilość wymagana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28454D" w14:textId="77777777" w:rsidR="00BB15BA" w:rsidRPr="00F50BF3" w:rsidRDefault="00BB15BA" w:rsidP="00BB15B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</w:pPr>
            <w:r w:rsidRPr="00F50BF3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>Parametr/</w:t>
            </w:r>
          </w:p>
          <w:p w14:paraId="53F796FA" w14:textId="77777777" w:rsidR="00BB15BA" w:rsidRPr="00F50BF3" w:rsidRDefault="00BB15BA" w:rsidP="00BB15BA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>podać</w:t>
            </w:r>
          </w:p>
        </w:tc>
      </w:tr>
      <w:tr w:rsidR="00BB15BA" w:rsidRPr="00F50BF3" w14:paraId="6352F9E5" w14:textId="77777777" w:rsidTr="00BB15BA">
        <w:trPr>
          <w:trHeight w:val="810"/>
        </w:trPr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C5234" w14:textId="77777777" w:rsidR="00BB15BA" w:rsidRPr="00F50BF3" w:rsidRDefault="00BB15BA" w:rsidP="00BB15BA">
            <w:pPr>
              <w:pStyle w:val="Akapitzlist"/>
              <w:numPr>
                <w:ilvl w:val="0"/>
                <w:numId w:val="2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EA4A04" w14:textId="77777777" w:rsidR="00BB15BA" w:rsidRPr="00F50BF3" w:rsidRDefault="00BB15BA" w:rsidP="00BB15BA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Szkolenie z obsługi narzędzi dla lekarzy w siedzibie Zamawiającego w terminie uzgodnionym z Zamawiającym, przed podpisaniem protokołu odbioru końcowego.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264CFA" w14:textId="77777777" w:rsidR="00BB15BA" w:rsidRPr="00F50BF3" w:rsidRDefault="00BB15BA" w:rsidP="00BB15BA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63DE47" w14:textId="77777777" w:rsidR="00BB15BA" w:rsidRPr="00F50BF3" w:rsidRDefault="00BB15BA" w:rsidP="00BB15BA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BB15BA" w:rsidRPr="00F50BF3" w14:paraId="34D46540" w14:textId="77777777" w:rsidTr="00BB15BA">
        <w:trPr>
          <w:trHeight w:val="285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9B790" w14:textId="77777777" w:rsidR="00BB15BA" w:rsidRPr="00F50BF3" w:rsidRDefault="00BB15BA" w:rsidP="00BB15BA">
            <w:pPr>
              <w:pStyle w:val="Akapitzlist"/>
              <w:numPr>
                <w:ilvl w:val="0"/>
                <w:numId w:val="2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13BBF9" w14:textId="77777777" w:rsidR="00BB15BA" w:rsidRPr="00F50BF3" w:rsidRDefault="00BB15BA" w:rsidP="00BB15BA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Wykonawca sporządzi protokół z przeprowadzonych szkoleń bezpośrednio po ich przeprowadzeniu.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1EFCD4" w14:textId="77777777" w:rsidR="00BB15BA" w:rsidRPr="00F50BF3" w:rsidRDefault="00BB15BA" w:rsidP="00BB15BA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D606EC" w14:textId="77777777" w:rsidR="00BB15BA" w:rsidRPr="00F50BF3" w:rsidRDefault="00BB15BA" w:rsidP="00BB15BA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BB15BA" w:rsidRPr="00F50BF3" w14:paraId="05B3DEE5" w14:textId="77777777" w:rsidTr="00BB15BA">
        <w:trPr>
          <w:trHeight w:val="2430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D24A3" w14:textId="77777777" w:rsidR="00BB15BA" w:rsidRPr="00CF215B" w:rsidRDefault="00BB15BA" w:rsidP="00BB15BA">
            <w:pPr>
              <w:pStyle w:val="Akapitzlist"/>
              <w:numPr>
                <w:ilvl w:val="0"/>
                <w:numId w:val="2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B359A1" w14:textId="77777777" w:rsidR="00BB15BA" w:rsidRPr="00CF215B" w:rsidRDefault="00BB15BA" w:rsidP="00BB15BA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F215B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Wykonawca powinien zapewnić co najmniej 24 miesięczną gwarancję prawidłowego działania oferowanych urządzeń oraz wszystkich elementów peryferyjnych, wymagane opłaty licencyjne oraz serwis (pełna gwarancja) oraz przeglądy okresowe – kryterium punktowane.</w:t>
            </w:r>
            <w:r w:rsidRPr="00CF215B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</w:r>
            <w:r w:rsidRPr="00CF215B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>Gwarancja min. 24 miesiące na urządzenie od daty podpisania przez  strony bezusterkowego protokołu odbioru</w:t>
            </w:r>
            <w:r w:rsidRPr="00CF215B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>24 miesięcy – 0 pkt</w:t>
            </w:r>
            <w:r w:rsidRPr="00CF215B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>36 miesięcy – 10 pkt</w:t>
            </w:r>
            <w:r w:rsidRPr="00CF215B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>48 miesięcy – 20 pkt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825C37" w14:textId="77777777" w:rsidR="00BB15BA" w:rsidRPr="00F50BF3" w:rsidRDefault="00BB15BA" w:rsidP="00BB15BA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188504" w14:textId="77777777" w:rsidR="00BB15BA" w:rsidRPr="00F50BF3" w:rsidRDefault="00BB15BA" w:rsidP="00BB15BA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BB15BA" w:rsidRPr="00F50BF3" w14:paraId="04B88A3B" w14:textId="77777777" w:rsidTr="00BB15BA">
        <w:trPr>
          <w:trHeight w:val="1080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AB501" w14:textId="77777777" w:rsidR="00BB15BA" w:rsidRPr="00F50BF3" w:rsidRDefault="00BB15BA" w:rsidP="00BB15BA">
            <w:pPr>
              <w:pStyle w:val="Akapitzlist"/>
              <w:numPr>
                <w:ilvl w:val="0"/>
                <w:numId w:val="2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7EE1F2" w14:textId="77777777" w:rsidR="00BB15BA" w:rsidRPr="00F50BF3" w:rsidRDefault="00BB15BA" w:rsidP="00BB15BA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Okres zagwarantowania dostępności i możliwości zakupu przez zamawiającego w serwisie Wykonawcy części zamiennych, peryferyjnych oraz wyposażenia eksploatacyjnego powinien wynosić minimum 10 lat od daty przekazania przedmiotu przetargu do eksploatacji. 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AEE10C" w14:textId="77777777" w:rsidR="00BB15BA" w:rsidRPr="00F50BF3" w:rsidRDefault="00BB15BA" w:rsidP="00BB15BA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FC64ED" w14:textId="77777777" w:rsidR="00BB15BA" w:rsidRPr="00F50BF3" w:rsidRDefault="00BB15BA" w:rsidP="00BB15BA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BB15BA" w:rsidRPr="00F50BF3" w14:paraId="132996D3" w14:textId="77777777" w:rsidTr="00BB15BA">
        <w:trPr>
          <w:trHeight w:val="810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B9A67" w14:textId="77777777" w:rsidR="00BB15BA" w:rsidRPr="00F50BF3" w:rsidRDefault="00BB15BA" w:rsidP="00BB15BA">
            <w:pPr>
              <w:pStyle w:val="Akapitzlist"/>
              <w:numPr>
                <w:ilvl w:val="0"/>
                <w:numId w:val="2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7F3843" w14:textId="77777777" w:rsidR="00BB15BA" w:rsidRPr="00F50BF3" w:rsidRDefault="00BB15BA" w:rsidP="00BB15BA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Czas reakcji serwisu w okresie gwarancji od chwili zgłoszenia awarii czyli pojawienie się pracownika serwisu w miejscu awarii w dni robocze max 48 godzin.</w:t>
            </w:r>
            <w:r w:rsidRPr="00F50BF3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>Czas skutecznej naprawy maksimum 7 dni kalendarzowych.</w:t>
            </w:r>
          </w:p>
          <w:p w14:paraId="4D9E29D2" w14:textId="77777777" w:rsidR="00BB15BA" w:rsidRPr="00F50BF3" w:rsidRDefault="00BB15BA" w:rsidP="00BB15BA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highlight w:val="yellow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Czas skutecznej naprawy, wymagającej importu części spoza terenu Polski, maksimum 14 dni kalendarzowych.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B74211" w14:textId="77777777" w:rsidR="00BB15BA" w:rsidRPr="00F50BF3" w:rsidRDefault="00BB15BA" w:rsidP="00BB15BA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6E6BC7" w14:textId="77777777" w:rsidR="00BB15BA" w:rsidRPr="00F50BF3" w:rsidRDefault="00BB15BA" w:rsidP="00BB15BA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BB15BA" w:rsidRPr="00F50BF3" w14:paraId="6E6B80F5" w14:textId="77777777" w:rsidTr="00BB15BA">
        <w:trPr>
          <w:trHeight w:val="1080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BD4D9" w14:textId="77777777" w:rsidR="00BB15BA" w:rsidRPr="00F50BF3" w:rsidRDefault="00BB15BA" w:rsidP="00BB15BA">
            <w:pPr>
              <w:pStyle w:val="Akapitzlist"/>
              <w:numPr>
                <w:ilvl w:val="0"/>
                <w:numId w:val="2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716B83" w14:textId="77777777" w:rsidR="00BB15BA" w:rsidRPr="00F50BF3" w:rsidRDefault="00BB15BA" w:rsidP="00BB15BA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W przypadku naprawy trwającej dłużej niż 7 dni kalendarzowych Wykonawca zapewni sprzęt zastępczy o parametrach </w:t>
            </w:r>
            <w:proofErr w:type="spellStart"/>
            <w:r w:rsidRPr="00F50BF3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niegorszych</w:t>
            </w:r>
            <w:proofErr w:type="spellEnd"/>
            <w:r w:rsidRPr="00F50BF3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 niż oferowany.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3662E5" w14:textId="77777777" w:rsidR="00BB15BA" w:rsidRPr="00F50BF3" w:rsidRDefault="00BB15BA" w:rsidP="00BB15BA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7CD105" w14:textId="77777777" w:rsidR="00BB15BA" w:rsidRPr="00F50BF3" w:rsidRDefault="00BB15BA" w:rsidP="00BB15BA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BB15BA" w:rsidRPr="00F50BF3" w14:paraId="443D81CB" w14:textId="77777777" w:rsidTr="00BB15BA">
        <w:trPr>
          <w:trHeight w:val="810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F3689" w14:textId="77777777" w:rsidR="00BB15BA" w:rsidRPr="00F50BF3" w:rsidRDefault="00BB15BA" w:rsidP="00BB15BA">
            <w:pPr>
              <w:pStyle w:val="Akapitzlist"/>
              <w:numPr>
                <w:ilvl w:val="0"/>
                <w:numId w:val="2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1BDF3D" w14:textId="77777777" w:rsidR="00BB15BA" w:rsidRPr="00F50BF3" w:rsidRDefault="00BB15BA" w:rsidP="00BB15BA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W okresie gwarancji Wykonawca zobowiązany jest do wykonywania  przeglądów zgodnie z zaleceniami producenta oraz wykonywania obowiązkowych testów specjalistycznych. Koszty przeglądów wliczone w cenę oferty.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500D36" w14:textId="77777777" w:rsidR="00BB15BA" w:rsidRPr="00F50BF3" w:rsidRDefault="00BB15BA" w:rsidP="00BB15BA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17B9BE" w14:textId="77777777" w:rsidR="00BB15BA" w:rsidRPr="00F50BF3" w:rsidRDefault="00BB15BA" w:rsidP="00BB15BA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BB15BA" w:rsidRPr="00F50BF3" w14:paraId="46F3DD2E" w14:textId="77777777" w:rsidTr="00BB15BA">
        <w:trPr>
          <w:trHeight w:val="285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92570" w14:textId="77777777" w:rsidR="00BB15BA" w:rsidRPr="00F50BF3" w:rsidRDefault="00BB15BA" w:rsidP="00BB15BA">
            <w:pPr>
              <w:pStyle w:val="Akapitzlist"/>
              <w:numPr>
                <w:ilvl w:val="0"/>
                <w:numId w:val="2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0DE140" w14:textId="77777777" w:rsidR="00BB15BA" w:rsidRPr="00F50BF3" w:rsidRDefault="00BB15BA" w:rsidP="00BB15BA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Certyfikat ISO 13485 dla producenta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872A7F" w14:textId="77777777" w:rsidR="00BB15BA" w:rsidRPr="00F50BF3" w:rsidRDefault="00BB15BA" w:rsidP="00BB15BA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76003D" w14:textId="77777777" w:rsidR="00BB15BA" w:rsidRPr="00F50BF3" w:rsidRDefault="00BB15BA" w:rsidP="00BB15BA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BB15BA" w:rsidRPr="00F50BF3" w14:paraId="00CFA1FD" w14:textId="77777777" w:rsidTr="00BB15BA">
        <w:trPr>
          <w:trHeight w:val="285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91052" w14:textId="77777777" w:rsidR="00BB15BA" w:rsidRPr="00F50BF3" w:rsidRDefault="00BB15BA" w:rsidP="00BB15BA">
            <w:pPr>
              <w:pStyle w:val="Akapitzlist"/>
              <w:numPr>
                <w:ilvl w:val="0"/>
                <w:numId w:val="2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73CEC4" w14:textId="77777777" w:rsidR="00BB15BA" w:rsidRPr="00F50BF3" w:rsidRDefault="00BB15BA" w:rsidP="00BB15BA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Deklaracja zgodności CE wydana przez producenta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CFF8CB" w14:textId="77777777" w:rsidR="00BB15BA" w:rsidRPr="00F50BF3" w:rsidRDefault="00BB15BA" w:rsidP="00BB15BA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883114" w14:textId="77777777" w:rsidR="00BB15BA" w:rsidRPr="00F50BF3" w:rsidRDefault="00BB15BA" w:rsidP="00BB15BA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BB15BA" w:rsidRPr="00F50BF3" w14:paraId="370B796B" w14:textId="77777777" w:rsidTr="00BB15BA">
        <w:trPr>
          <w:trHeight w:val="540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61298" w14:textId="77777777" w:rsidR="00BB15BA" w:rsidRPr="00F50BF3" w:rsidRDefault="00BB15BA" w:rsidP="00BB15BA">
            <w:pPr>
              <w:pStyle w:val="Akapitzlist"/>
              <w:numPr>
                <w:ilvl w:val="0"/>
                <w:numId w:val="2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842717" w14:textId="77777777" w:rsidR="00BB15BA" w:rsidRPr="00F50BF3" w:rsidRDefault="00BB15BA" w:rsidP="00BB15BA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Bezpłatne przeglądy okresowe przez cały okres gwarancji, niezależnie od zaleceń producenta, na koszt Wykonawcy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DC6271" w14:textId="77777777" w:rsidR="00BB15BA" w:rsidRPr="00F50BF3" w:rsidRDefault="00BB15BA" w:rsidP="00BB15BA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B94EA9" w14:textId="77777777" w:rsidR="00BB15BA" w:rsidRPr="00F50BF3" w:rsidRDefault="00BB15BA" w:rsidP="00BB15BA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BB15BA" w:rsidRPr="00F50BF3" w14:paraId="29D846CF" w14:textId="77777777" w:rsidTr="00BB15BA">
        <w:trPr>
          <w:trHeight w:val="285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DD769" w14:textId="77777777" w:rsidR="00BB15BA" w:rsidRPr="00F50BF3" w:rsidRDefault="00BB15BA" w:rsidP="00BB15BA">
            <w:pPr>
              <w:pStyle w:val="Akapitzlist"/>
              <w:numPr>
                <w:ilvl w:val="0"/>
                <w:numId w:val="2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7DB34F" w14:textId="77777777" w:rsidR="00BB15BA" w:rsidRPr="00F50BF3" w:rsidRDefault="00BB15BA" w:rsidP="00BB15BA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Zagwarantowana dostępność części zamiennych przez co najmniej 10  lat od daty zainstalowania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54A136" w14:textId="77777777" w:rsidR="00BB15BA" w:rsidRPr="00F50BF3" w:rsidRDefault="00BB15BA" w:rsidP="00BB15BA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B96157" w14:textId="77777777" w:rsidR="00BB15BA" w:rsidRPr="00F50BF3" w:rsidRDefault="00BB15BA" w:rsidP="00BB15BA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BB15BA" w:rsidRPr="00F50BF3" w14:paraId="24E85E03" w14:textId="77777777" w:rsidTr="00BB15BA">
        <w:trPr>
          <w:trHeight w:val="285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144F2" w14:textId="77777777" w:rsidR="00BB15BA" w:rsidRPr="00F50BF3" w:rsidRDefault="00BB15BA" w:rsidP="00BB15BA">
            <w:pPr>
              <w:pStyle w:val="Akapitzlist"/>
              <w:numPr>
                <w:ilvl w:val="0"/>
                <w:numId w:val="2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5ED846" w14:textId="77777777" w:rsidR="00BB15BA" w:rsidRPr="00F50BF3" w:rsidRDefault="00BB15BA" w:rsidP="00BB15BA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Autoryzowany serwis gwarancyjny i pogwarancyjny.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9BBF89" w14:textId="77777777" w:rsidR="00BB15BA" w:rsidRPr="00F50BF3" w:rsidRDefault="00BB15BA" w:rsidP="00BB15BA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0FB6E5" w14:textId="77777777" w:rsidR="00BB15BA" w:rsidRPr="00F50BF3" w:rsidRDefault="00BB15BA" w:rsidP="00BB15BA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BB15BA" w:rsidRPr="00F50BF3" w14:paraId="01ACB2BC" w14:textId="77777777" w:rsidTr="00BB15BA">
        <w:trPr>
          <w:trHeight w:val="285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6B6572" w14:textId="77777777" w:rsidR="00BB15BA" w:rsidRPr="00F50BF3" w:rsidRDefault="00BB15BA" w:rsidP="00BB15BA">
            <w:pPr>
              <w:pStyle w:val="Akapitzlist"/>
              <w:numPr>
                <w:ilvl w:val="0"/>
                <w:numId w:val="2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1F7D6A" w14:textId="77777777" w:rsidR="00BB15BA" w:rsidRPr="00F50BF3" w:rsidRDefault="00BB15BA" w:rsidP="00BB15BA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Materiały informacyjne na temat oferowanego sprzętu w języku polskim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1B0B6D" w14:textId="77777777" w:rsidR="00BB15BA" w:rsidRPr="00F50BF3" w:rsidRDefault="00BB15BA" w:rsidP="00BB15BA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921140" w14:textId="77777777" w:rsidR="00BB15BA" w:rsidRPr="00F50BF3" w:rsidRDefault="00BB15BA" w:rsidP="00BB15BA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BB15BA" w:rsidRPr="00F50BF3" w14:paraId="24B39D24" w14:textId="77777777" w:rsidTr="00BB15BA">
        <w:trPr>
          <w:trHeight w:val="285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1966F" w14:textId="77777777" w:rsidR="00BB15BA" w:rsidRPr="00F50BF3" w:rsidRDefault="00BB15BA" w:rsidP="00BB15BA">
            <w:pPr>
              <w:pStyle w:val="Akapitzlist"/>
              <w:numPr>
                <w:ilvl w:val="0"/>
                <w:numId w:val="2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050CC0" w14:textId="77777777" w:rsidR="00BB15BA" w:rsidRPr="00F50BF3" w:rsidRDefault="00BB15BA" w:rsidP="00BB15BA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Instrukcja do sprzętu w języku polskim (wraz z dostawą przedmiotu postępowania)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C6E5DD" w14:textId="77777777" w:rsidR="00BB15BA" w:rsidRPr="00F50BF3" w:rsidRDefault="00BB15BA" w:rsidP="00BB15BA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6D0708" w14:textId="77777777" w:rsidR="00BB15BA" w:rsidRPr="00F50BF3" w:rsidRDefault="00BB15BA" w:rsidP="00BB15BA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BB15BA" w:rsidRPr="00F50BF3" w14:paraId="3AA48618" w14:textId="77777777" w:rsidTr="00BB15BA">
        <w:trPr>
          <w:trHeight w:val="540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A042C0" w14:textId="77777777" w:rsidR="00BB15BA" w:rsidRPr="00F50BF3" w:rsidRDefault="00BB15BA" w:rsidP="00BB15BA">
            <w:pPr>
              <w:pStyle w:val="Akapitzlist"/>
              <w:numPr>
                <w:ilvl w:val="0"/>
                <w:numId w:val="2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2D7CF8" w14:textId="77777777" w:rsidR="00BB15BA" w:rsidRPr="00F50BF3" w:rsidRDefault="00BB15BA" w:rsidP="00BB15BA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Zapewnienie producenta lub autoryzowanego dystrybutora o zapewnieniu serwisu gwarancyjnego i pogwarancyjnego 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1FF8EE" w14:textId="77777777" w:rsidR="00BB15BA" w:rsidRPr="00F50BF3" w:rsidRDefault="00BB15BA" w:rsidP="00BB15BA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9D9D32" w14:textId="77777777" w:rsidR="00BB15BA" w:rsidRPr="00F50BF3" w:rsidRDefault="00BB15BA" w:rsidP="00BB15BA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BB15BA" w:rsidRPr="00F50BF3" w14:paraId="19718C5C" w14:textId="77777777" w:rsidTr="00347260">
        <w:trPr>
          <w:trHeight w:val="488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9152B" w14:textId="77777777" w:rsidR="00BB15BA" w:rsidRPr="00F50BF3" w:rsidRDefault="00BB15BA" w:rsidP="00BB15BA">
            <w:pPr>
              <w:pStyle w:val="Akapitzlist"/>
              <w:numPr>
                <w:ilvl w:val="0"/>
                <w:numId w:val="2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6DF347" w14:textId="77777777" w:rsidR="00BB15BA" w:rsidRPr="00F50BF3" w:rsidRDefault="00BB15BA" w:rsidP="00BB15BA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Dostawa do 30 listopada 2025 roku</w:t>
            </w:r>
            <w:r w:rsidR="00F50BF3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 (zrealizowanie wszystkich postanowień umowy)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1AD0C6" w14:textId="77777777" w:rsidR="00BB15BA" w:rsidRPr="00F50BF3" w:rsidRDefault="00BB15BA" w:rsidP="00BB15BA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C7F793" w14:textId="77777777" w:rsidR="00BB15BA" w:rsidRPr="00F50BF3" w:rsidRDefault="00BB15BA" w:rsidP="00BB15BA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BB15BA" w:rsidRPr="00F50BF3" w14:paraId="55BBBA3D" w14:textId="77777777" w:rsidTr="00347260">
        <w:trPr>
          <w:trHeight w:val="488"/>
        </w:trPr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2639D" w14:textId="77777777" w:rsidR="00BB15BA" w:rsidRPr="00F50BF3" w:rsidRDefault="00BB15BA" w:rsidP="00BB15BA">
            <w:pPr>
              <w:pStyle w:val="Akapitzlist"/>
              <w:numPr>
                <w:ilvl w:val="0"/>
                <w:numId w:val="2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544EBC" w14:textId="77777777" w:rsidR="00BB15BA" w:rsidRPr="00F50BF3" w:rsidRDefault="00347260" w:rsidP="00D117CC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Do zadań Wykonawcy należy również położenie sieci informatycznej oraz </w:t>
            </w:r>
            <w:r w:rsidR="00D117CC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dostarczenie </w:t>
            </w:r>
            <w:r w:rsidRPr="00F50BF3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wszelkich urządzeń informatycznych</w:t>
            </w:r>
            <w:r w:rsidR="00054B37" w:rsidRPr="00F50BF3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 </w:t>
            </w:r>
            <w:r w:rsidR="002B1C3A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[</w:t>
            </w:r>
            <w:r w:rsidR="00054B37" w:rsidRPr="00F50BF3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m.in. </w:t>
            </w:r>
            <w:r w:rsidR="00D117CC" w:rsidRPr="00D117CC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Przełącznik:  </w:t>
            </w:r>
            <w:proofErr w:type="spellStart"/>
            <w:r w:rsidR="00D117CC" w:rsidRPr="00D117CC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Huawei</w:t>
            </w:r>
            <w:proofErr w:type="spellEnd"/>
            <w:r w:rsidR="00D117CC" w:rsidRPr="00D117CC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 S5735-L48LP4XE-A-V2</w:t>
            </w:r>
            <w:r w:rsidR="002B1C3A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 - Zamawiający wskazuje konkretny model, ponieważ jest on kompatybilny i integralny z posiadanymi przełącznikami. Dostarczenie wskazanego modelu pozwoli Zamawiającemu na centralne zarządzanie wszystkimi przełącznikami zamontowanymi w Szpitalu;</w:t>
            </w:r>
            <w:r w:rsidR="00054B37" w:rsidRPr="00F50BF3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 </w:t>
            </w:r>
            <w:r w:rsidR="00D117CC" w:rsidRPr="00D117CC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Wkładka światłowodowa</w:t>
            </w:r>
            <w:r w:rsidR="00D117CC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:</w:t>
            </w:r>
            <w:r w:rsidR="00D117CC" w:rsidRPr="00D117CC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 SFP+ 1310nm (10 </w:t>
            </w:r>
            <w:proofErr w:type="spellStart"/>
            <w:r w:rsidR="00D117CC" w:rsidRPr="00D117CC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Gbps</w:t>
            </w:r>
            <w:proofErr w:type="spellEnd"/>
            <w:r w:rsidR="00D117CC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 </w:t>
            </w:r>
            <w:proofErr w:type="spellStart"/>
            <w:r w:rsidR="00D117CC" w:rsidRPr="00D117CC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jednomodowa</w:t>
            </w:r>
            <w:proofErr w:type="spellEnd"/>
            <w:r w:rsidR="002B1C3A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 – lub równoważna]</w:t>
            </w:r>
            <w:r w:rsidRPr="00F50BF3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 koniecznych do właściwej pracy systemu.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5D4DD4" w14:textId="77777777" w:rsidR="00BB15BA" w:rsidRPr="00F50BF3" w:rsidRDefault="00347260" w:rsidP="00BB15BA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7F7517" w14:textId="77777777" w:rsidR="00BB15BA" w:rsidRPr="00F50BF3" w:rsidRDefault="00BB15BA" w:rsidP="00BB15BA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</w:tbl>
    <w:p w14:paraId="1DE4898F" w14:textId="77777777" w:rsidR="00BB15BA" w:rsidRPr="00F50BF3" w:rsidRDefault="00BB15BA" w:rsidP="00BB15BA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  <w:r w:rsidRPr="00F50BF3">
        <w:rPr>
          <w:rFonts w:ascii="Century Gothic" w:hAnsi="Century Gothic"/>
          <w:sz w:val="16"/>
          <w:szCs w:val="16"/>
        </w:rPr>
        <w:t xml:space="preserve">UWAGA:       Niespełnienie wymaganych parametrów i warunków spowoduje odrzucenie oferty.  </w:t>
      </w:r>
    </w:p>
    <w:p w14:paraId="637DECCB" w14:textId="77777777" w:rsidR="00BB15BA" w:rsidRPr="00F50BF3" w:rsidRDefault="00BB15BA" w:rsidP="00BB15BA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</w:p>
    <w:p w14:paraId="70F20A46" w14:textId="77777777" w:rsidR="00BB15BA" w:rsidRPr="00F50BF3" w:rsidRDefault="00BB15BA" w:rsidP="00BB15BA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  <w:r w:rsidRPr="00F50BF3">
        <w:rPr>
          <w:rFonts w:ascii="Century Gothic" w:hAnsi="Century Gothic"/>
          <w:sz w:val="16"/>
          <w:szCs w:val="16"/>
        </w:rPr>
        <w:t>1.</w:t>
      </w:r>
      <w:r w:rsidRPr="00F50BF3">
        <w:rPr>
          <w:rFonts w:ascii="Century Gothic" w:hAnsi="Century Gothic"/>
          <w:sz w:val="16"/>
          <w:szCs w:val="16"/>
        </w:rPr>
        <w:tab/>
        <w:t xml:space="preserve">Brak odpowiedniego wpisu przez wykonawcę w kolumnie parametr oferowany będzie traktowany jako brak danego parametru/warunku w oferowanej konfiguracji urządzenia i będzie podstawą odrzucenia oferty. </w:t>
      </w:r>
    </w:p>
    <w:p w14:paraId="10811A2A" w14:textId="77777777" w:rsidR="00BB15BA" w:rsidRPr="00F50BF3" w:rsidRDefault="00BB15BA" w:rsidP="00BB15BA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  <w:r w:rsidRPr="00F50BF3">
        <w:rPr>
          <w:rFonts w:ascii="Century Gothic" w:hAnsi="Century Gothic"/>
          <w:sz w:val="16"/>
          <w:szCs w:val="16"/>
        </w:rPr>
        <w:t>2.</w:t>
      </w:r>
      <w:r w:rsidRPr="00F50BF3">
        <w:rPr>
          <w:rFonts w:ascii="Century Gothic" w:hAnsi="Century Gothic"/>
          <w:sz w:val="16"/>
          <w:szCs w:val="16"/>
        </w:rPr>
        <w:tab/>
        <w:t>Oświadczam, że oferowane urządzenie (sprzęt) spełnia wymagania techniczne zawarte w SWZ, jest kompletne i będzie gotowe do użytku bez żadnych dodatkowych zakupów i inwestycji (poza materiałami eksploatacyjnymi) oraz  gwarantuje bezpieczeństwo pacjentów i personelu medycznego i zapewnia wymagany poziom usług medycznych.</w:t>
      </w:r>
    </w:p>
    <w:p w14:paraId="1F425DD9" w14:textId="77777777" w:rsidR="00C729DB" w:rsidRDefault="00BB15BA" w:rsidP="00BB15BA">
      <w:pPr>
        <w:pStyle w:val="Bezodstpw"/>
        <w:spacing w:line="360" w:lineRule="auto"/>
        <w:rPr>
          <w:rFonts w:ascii="Century Gothic" w:hAnsi="Century Gothic"/>
          <w:sz w:val="16"/>
          <w:szCs w:val="16"/>
        </w:rPr>
        <w:sectPr w:rsidR="00C729DB" w:rsidSect="00BB15BA">
          <w:footerReference w:type="default" r:id="rId7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F50BF3">
        <w:rPr>
          <w:rFonts w:ascii="Century Gothic" w:hAnsi="Century Gothic"/>
          <w:sz w:val="16"/>
          <w:szCs w:val="16"/>
        </w:rPr>
        <w:tab/>
      </w:r>
      <w:r w:rsidRPr="00F50BF3">
        <w:rPr>
          <w:rFonts w:ascii="Century Gothic" w:hAnsi="Century Gothic"/>
          <w:sz w:val="16"/>
          <w:szCs w:val="16"/>
        </w:rPr>
        <w:tab/>
      </w:r>
      <w:r w:rsidRPr="00F50BF3">
        <w:rPr>
          <w:rFonts w:ascii="Century Gothic" w:hAnsi="Century Gothic"/>
          <w:sz w:val="16"/>
          <w:szCs w:val="16"/>
        </w:rPr>
        <w:tab/>
      </w:r>
      <w:r w:rsidRPr="00F50BF3">
        <w:rPr>
          <w:rFonts w:ascii="Century Gothic" w:hAnsi="Century Gothic"/>
          <w:sz w:val="16"/>
          <w:szCs w:val="16"/>
        </w:rPr>
        <w:tab/>
      </w:r>
    </w:p>
    <w:p w14:paraId="43D5851D" w14:textId="77777777" w:rsidR="00BB15BA" w:rsidRPr="00F50BF3" w:rsidRDefault="00BB15BA" w:rsidP="00BB15BA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</w:p>
    <w:tbl>
      <w:tblPr>
        <w:tblW w:w="15545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51"/>
        <w:gridCol w:w="1468"/>
        <w:gridCol w:w="985"/>
        <w:gridCol w:w="1841"/>
        <w:gridCol w:w="1841"/>
        <w:gridCol w:w="1226"/>
        <w:gridCol w:w="1841"/>
        <w:gridCol w:w="2046"/>
        <w:gridCol w:w="2046"/>
      </w:tblGrid>
      <w:tr w:rsidR="00753950" w:rsidRPr="002476A4" w14:paraId="314B3567" w14:textId="55039285" w:rsidTr="00753950">
        <w:trPr>
          <w:trHeight w:val="968"/>
        </w:trPr>
        <w:tc>
          <w:tcPr>
            <w:tcW w:w="2251" w:type="dxa"/>
          </w:tcPr>
          <w:p w14:paraId="612A691E" w14:textId="77777777" w:rsidR="00753950" w:rsidRPr="002476A4" w:rsidRDefault="00753950" w:rsidP="00141C60">
            <w:pPr>
              <w:widowControl w:val="0"/>
              <w:autoSpaceDE w:val="0"/>
              <w:autoSpaceDN w:val="0"/>
              <w:adjustRightInd w:val="0"/>
              <w:spacing w:line="278" w:lineRule="auto"/>
              <w:rPr>
                <w:rFonts w:eastAsiaTheme="minorEastAsia"/>
                <w:sz w:val="18"/>
                <w:szCs w:val="18"/>
                <w:lang w:eastAsia="ja-JP"/>
              </w:rPr>
            </w:pPr>
            <w:r w:rsidRPr="002476A4">
              <w:rPr>
                <w:rFonts w:eastAsiaTheme="minorEastAsia"/>
                <w:sz w:val="18"/>
                <w:szCs w:val="18"/>
                <w:lang w:eastAsia="ja-JP"/>
              </w:rPr>
              <w:t>Nazwa towaru - asortyment</w:t>
            </w:r>
          </w:p>
        </w:tc>
        <w:tc>
          <w:tcPr>
            <w:tcW w:w="1468" w:type="dxa"/>
          </w:tcPr>
          <w:p w14:paraId="330FA048" w14:textId="77777777" w:rsidR="00753950" w:rsidRPr="002476A4" w:rsidRDefault="00753950" w:rsidP="00141C60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/>
                <w:sz w:val="18"/>
                <w:szCs w:val="18"/>
                <w:lang w:eastAsia="ja-JP"/>
              </w:rPr>
            </w:pPr>
            <w:r w:rsidRPr="002476A4">
              <w:rPr>
                <w:rFonts w:eastAsiaTheme="minorEastAsia"/>
                <w:sz w:val="18"/>
                <w:szCs w:val="18"/>
                <w:lang w:eastAsia="ja-JP"/>
              </w:rPr>
              <w:t>J.m.</w:t>
            </w:r>
          </w:p>
        </w:tc>
        <w:tc>
          <w:tcPr>
            <w:tcW w:w="985" w:type="dxa"/>
          </w:tcPr>
          <w:p w14:paraId="7984B1B6" w14:textId="77777777" w:rsidR="00753950" w:rsidRPr="002476A4" w:rsidRDefault="00753950" w:rsidP="00141C60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/>
                <w:sz w:val="18"/>
                <w:szCs w:val="18"/>
                <w:lang w:eastAsia="ja-JP"/>
              </w:rPr>
            </w:pPr>
            <w:r w:rsidRPr="002476A4">
              <w:rPr>
                <w:rFonts w:eastAsiaTheme="minorEastAsia"/>
                <w:sz w:val="18"/>
                <w:szCs w:val="18"/>
                <w:lang w:eastAsia="ja-JP"/>
              </w:rPr>
              <w:t>Ilość</w:t>
            </w:r>
          </w:p>
        </w:tc>
        <w:tc>
          <w:tcPr>
            <w:tcW w:w="1841" w:type="dxa"/>
          </w:tcPr>
          <w:p w14:paraId="72A27EDC" w14:textId="77777777" w:rsidR="00753950" w:rsidRPr="002476A4" w:rsidRDefault="00753950" w:rsidP="00141C60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/>
                <w:sz w:val="18"/>
                <w:szCs w:val="18"/>
                <w:lang w:eastAsia="ja-JP"/>
              </w:rPr>
            </w:pPr>
            <w:r w:rsidRPr="002476A4">
              <w:rPr>
                <w:rFonts w:eastAsiaTheme="minorEastAsia"/>
                <w:sz w:val="18"/>
                <w:szCs w:val="18"/>
                <w:lang w:eastAsia="ja-JP"/>
              </w:rPr>
              <w:t>Cena jednostkowa netto</w:t>
            </w:r>
          </w:p>
        </w:tc>
        <w:tc>
          <w:tcPr>
            <w:tcW w:w="1841" w:type="dxa"/>
          </w:tcPr>
          <w:p w14:paraId="5EE9C5EA" w14:textId="77777777" w:rsidR="00753950" w:rsidRPr="002476A4" w:rsidRDefault="00753950" w:rsidP="00141C60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/>
                <w:sz w:val="18"/>
                <w:szCs w:val="18"/>
                <w:lang w:eastAsia="ja-JP"/>
              </w:rPr>
            </w:pPr>
            <w:r w:rsidRPr="002476A4">
              <w:rPr>
                <w:rFonts w:eastAsiaTheme="minorEastAsia"/>
                <w:sz w:val="18"/>
                <w:szCs w:val="18"/>
                <w:lang w:eastAsia="ja-JP"/>
              </w:rPr>
              <w:t>Wartość netto</w:t>
            </w:r>
          </w:p>
        </w:tc>
        <w:tc>
          <w:tcPr>
            <w:tcW w:w="1226" w:type="dxa"/>
          </w:tcPr>
          <w:p w14:paraId="495A95EC" w14:textId="77777777" w:rsidR="00753950" w:rsidRPr="002476A4" w:rsidRDefault="00753950" w:rsidP="00141C60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/>
                <w:sz w:val="18"/>
                <w:szCs w:val="18"/>
                <w:lang w:eastAsia="ja-JP"/>
              </w:rPr>
            </w:pPr>
            <w:r w:rsidRPr="002476A4">
              <w:rPr>
                <w:rFonts w:eastAsiaTheme="minorEastAsia"/>
                <w:sz w:val="18"/>
                <w:szCs w:val="18"/>
                <w:lang w:eastAsia="ja-JP"/>
              </w:rPr>
              <w:t>Stawka podatku VAT</w:t>
            </w:r>
          </w:p>
        </w:tc>
        <w:tc>
          <w:tcPr>
            <w:tcW w:w="1841" w:type="dxa"/>
          </w:tcPr>
          <w:p w14:paraId="33365880" w14:textId="77777777" w:rsidR="00753950" w:rsidRPr="002476A4" w:rsidRDefault="00753950" w:rsidP="00141C60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/>
                <w:sz w:val="18"/>
                <w:szCs w:val="18"/>
                <w:lang w:eastAsia="ja-JP"/>
              </w:rPr>
            </w:pPr>
            <w:r w:rsidRPr="002476A4">
              <w:rPr>
                <w:rFonts w:eastAsiaTheme="minorEastAsia"/>
                <w:sz w:val="18"/>
                <w:szCs w:val="18"/>
                <w:lang w:eastAsia="ja-JP"/>
              </w:rPr>
              <w:t>Cena jednostkowa brutto</w:t>
            </w:r>
          </w:p>
        </w:tc>
        <w:tc>
          <w:tcPr>
            <w:tcW w:w="2046" w:type="dxa"/>
          </w:tcPr>
          <w:p w14:paraId="46EDF134" w14:textId="77777777" w:rsidR="00753950" w:rsidRPr="002476A4" w:rsidRDefault="00753950" w:rsidP="00141C60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/>
                <w:sz w:val="18"/>
                <w:szCs w:val="18"/>
                <w:lang w:eastAsia="ja-JP"/>
              </w:rPr>
            </w:pPr>
            <w:r w:rsidRPr="002476A4">
              <w:rPr>
                <w:rFonts w:eastAsiaTheme="minorEastAsia"/>
                <w:sz w:val="18"/>
                <w:szCs w:val="18"/>
                <w:lang w:eastAsia="ja-JP"/>
              </w:rPr>
              <w:t>Wartość brutto</w:t>
            </w:r>
          </w:p>
        </w:tc>
        <w:tc>
          <w:tcPr>
            <w:tcW w:w="2046" w:type="dxa"/>
          </w:tcPr>
          <w:p w14:paraId="0518EBEF" w14:textId="6E856F72" w:rsidR="00753950" w:rsidRPr="002476A4" w:rsidRDefault="00753950" w:rsidP="00753950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/>
                <w:sz w:val="18"/>
                <w:szCs w:val="18"/>
                <w:lang w:eastAsia="ja-JP"/>
              </w:rPr>
            </w:pPr>
            <w:r w:rsidRPr="00753950">
              <w:rPr>
                <w:rFonts w:eastAsiaTheme="minorEastAsia"/>
                <w:sz w:val="18"/>
                <w:szCs w:val="18"/>
                <w:lang w:eastAsia="ja-JP"/>
              </w:rPr>
              <w:t>Producent, nr katalogowy, nazwa handlowa</w:t>
            </w:r>
          </w:p>
        </w:tc>
      </w:tr>
      <w:tr w:rsidR="00753950" w:rsidRPr="002476A4" w14:paraId="3CD2D14B" w14:textId="281FEDB7" w:rsidTr="00753950">
        <w:trPr>
          <w:trHeight w:val="1299"/>
        </w:trPr>
        <w:tc>
          <w:tcPr>
            <w:tcW w:w="2251" w:type="dxa"/>
          </w:tcPr>
          <w:p w14:paraId="2D4C7E45" w14:textId="7BB802E6" w:rsidR="00753950" w:rsidRPr="002476A4" w:rsidRDefault="00753950" w:rsidP="00141C60">
            <w:pPr>
              <w:spacing w:line="360" w:lineRule="auto"/>
              <w:rPr>
                <w:rFonts w:eastAsiaTheme="minorEastAsia" w:cstheme="minorHAnsi"/>
                <w:lang w:eastAsia="ja-JP"/>
              </w:rPr>
            </w:pPr>
            <w:r w:rsidRPr="00C729DB">
              <w:rPr>
                <w:rFonts w:ascii="Century Gothic" w:eastAsia="Times New Roman" w:hAnsi="Century Gothic" w:cs="Calibri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  <w:t>7</w:t>
            </w:r>
            <w:r>
              <w:rPr>
                <w:rFonts w:ascii="Century Gothic" w:eastAsia="Times New Roman" w:hAnsi="Century Gothic" w:cs="Calibri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  <w:t xml:space="preserve"> </w:t>
            </w:r>
            <w:r w:rsidRPr="00C729DB">
              <w:rPr>
                <w:rFonts w:ascii="Century Gothic" w:eastAsia="Times New Roman" w:hAnsi="Century Gothic" w:cs="Calibri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  <w:t>kardiomonitorów wraz z centralą monitorującą</w:t>
            </w:r>
          </w:p>
        </w:tc>
        <w:tc>
          <w:tcPr>
            <w:tcW w:w="1468" w:type="dxa"/>
          </w:tcPr>
          <w:p w14:paraId="6A94EC57" w14:textId="1CE52ED5" w:rsidR="00753950" w:rsidRPr="002476A4" w:rsidRDefault="00753950" w:rsidP="00141C60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 w:cstheme="minorHAnsi"/>
                <w:lang w:eastAsia="ja-JP"/>
              </w:rPr>
            </w:pPr>
            <w:r>
              <w:rPr>
                <w:rFonts w:eastAsiaTheme="minorEastAsia" w:cstheme="minorHAnsi"/>
                <w:lang w:eastAsia="ja-JP"/>
              </w:rPr>
              <w:t>zestaw</w:t>
            </w:r>
          </w:p>
        </w:tc>
        <w:tc>
          <w:tcPr>
            <w:tcW w:w="985" w:type="dxa"/>
          </w:tcPr>
          <w:p w14:paraId="6E3BA62F" w14:textId="334944E7" w:rsidR="00753950" w:rsidRPr="002476A4" w:rsidRDefault="00753950" w:rsidP="00141C60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 w:cstheme="minorHAnsi"/>
                <w:lang w:eastAsia="ja-JP"/>
              </w:rPr>
            </w:pPr>
            <w:r>
              <w:rPr>
                <w:rFonts w:eastAsiaTheme="minorEastAsia" w:cstheme="minorHAnsi"/>
                <w:lang w:eastAsia="ja-JP"/>
              </w:rPr>
              <w:t>7</w:t>
            </w:r>
          </w:p>
        </w:tc>
        <w:tc>
          <w:tcPr>
            <w:tcW w:w="1841" w:type="dxa"/>
          </w:tcPr>
          <w:p w14:paraId="01635E73" w14:textId="77777777" w:rsidR="00753950" w:rsidRPr="002476A4" w:rsidRDefault="00753950" w:rsidP="00141C60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 w:cstheme="minorHAnsi"/>
                <w:lang w:eastAsia="ja-JP"/>
              </w:rPr>
            </w:pPr>
          </w:p>
        </w:tc>
        <w:tc>
          <w:tcPr>
            <w:tcW w:w="1841" w:type="dxa"/>
          </w:tcPr>
          <w:p w14:paraId="5C2B218A" w14:textId="77777777" w:rsidR="00753950" w:rsidRPr="002476A4" w:rsidRDefault="00753950" w:rsidP="00141C60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 w:cstheme="minorHAnsi"/>
                <w:lang w:eastAsia="ja-JP"/>
              </w:rPr>
            </w:pPr>
          </w:p>
        </w:tc>
        <w:tc>
          <w:tcPr>
            <w:tcW w:w="1226" w:type="dxa"/>
          </w:tcPr>
          <w:p w14:paraId="7DB29B13" w14:textId="77777777" w:rsidR="00753950" w:rsidRPr="002476A4" w:rsidRDefault="00753950" w:rsidP="00141C60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 w:cstheme="minorHAnsi"/>
                <w:lang w:eastAsia="ja-JP"/>
              </w:rPr>
            </w:pPr>
          </w:p>
        </w:tc>
        <w:tc>
          <w:tcPr>
            <w:tcW w:w="1841" w:type="dxa"/>
          </w:tcPr>
          <w:p w14:paraId="47F41B71" w14:textId="77777777" w:rsidR="00753950" w:rsidRPr="002476A4" w:rsidRDefault="00753950" w:rsidP="00141C60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 w:cstheme="minorHAnsi"/>
                <w:lang w:eastAsia="ja-JP"/>
              </w:rPr>
            </w:pPr>
          </w:p>
        </w:tc>
        <w:tc>
          <w:tcPr>
            <w:tcW w:w="2046" w:type="dxa"/>
          </w:tcPr>
          <w:p w14:paraId="7ACD9B7C" w14:textId="77777777" w:rsidR="00753950" w:rsidRPr="002476A4" w:rsidRDefault="00753950" w:rsidP="00141C60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 w:cstheme="minorHAnsi"/>
                <w:b/>
                <w:bCs/>
                <w:lang w:eastAsia="ja-JP"/>
              </w:rPr>
            </w:pPr>
          </w:p>
        </w:tc>
        <w:tc>
          <w:tcPr>
            <w:tcW w:w="2046" w:type="dxa"/>
          </w:tcPr>
          <w:p w14:paraId="6BEF60AA" w14:textId="77777777" w:rsidR="00753950" w:rsidRPr="002476A4" w:rsidRDefault="00753950" w:rsidP="00141C60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 w:cstheme="minorHAnsi"/>
                <w:b/>
                <w:bCs/>
                <w:lang w:eastAsia="ja-JP"/>
              </w:rPr>
            </w:pPr>
          </w:p>
        </w:tc>
      </w:tr>
      <w:tr w:rsidR="00753950" w:rsidRPr="002476A4" w14:paraId="07445891" w14:textId="77777777" w:rsidTr="005D6A79">
        <w:trPr>
          <w:trHeight w:val="248"/>
        </w:trPr>
        <w:tc>
          <w:tcPr>
            <w:tcW w:w="4704" w:type="dxa"/>
            <w:gridSpan w:val="3"/>
          </w:tcPr>
          <w:p w14:paraId="5486A337" w14:textId="6A3FD144" w:rsidR="00753950" w:rsidRDefault="00753950" w:rsidP="00753950">
            <w:pPr>
              <w:widowControl w:val="0"/>
              <w:autoSpaceDE w:val="0"/>
              <w:autoSpaceDN w:val="0"/>
              <w:adjustRightInd w:val="0"/>
              <w:spacing w:line="278" w:lineRule="auto"/>
              <w:jc w:val="right"/>
              <w:rPr>
                <w:rFonts w:eastAsiaTheme="minorEastAsia" w:cstheme="minorHAnsi"/>
                <w:lang w:eastAsia="ja-JP"/>
              </w:rPr>
            </w:pPr>
            <w:r>
              <w:rPr>
                <w:rFonts w:eastAsiaTheme="minorEastAsia" w:cstheme="minorHAnsi"/>
                <w:lang w:eastAsia="ja-JP"/>
              </w:rPr>
              <w:t>Razem:</w:t>
            </w:r>
          </w:p>
        </w:tc>
        <w:tc>
          <w:tcPr>
            <w:tcW w:w="1841" w:type="dxa"/>
          </w:tcPr>
          <w:p w14:paraId="4C304531" w14:textId="77777777" w:rsidR="00753950" w:rsidRPr="002476A4" w:rsidRDefault="00753950" w:rsidP="00141C60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 w:cstheme="minorHAnsi"/>
                <w:lang w:eastAsia="ja-JP"/>
              </w:rPr>
            </w:pPr>
          </w:p>
        </w:tc>
        <w:tc>
          <w:tcPr>
            <w:tcW w:w="1841" w:type="dxa"/>
          </w:tcPr>
          <w:p w14:paraId="72DB409D" w14:textId="77777777" w:rsidR="00753950" w:rsidRPr="002476A4" w:rsidRDefault="00753950" w:rsidP="00141C60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 w:cstheme="minorHAnsi"/>
                <w:lang w:eastAsia="ja-JP"/>
              </w:rPr>
            </w:pPr>
          </w:p>
        </w:tc>
        <w:tc>
          <w:tcPr>
            <w:tcW w:w="1226" w:type="dxa"/>
          </w:tcPr>
          <w:p w14:paraId="604AC2BD" w14:textId="77777777" w:rsidR="00753950" w:rsidRPr="002476A4" w:rsidRDefault="00753950" w:rsidP="00141C60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 w:cstheme="minorHAnsi"/>
                <w:lang w:eastAsia="ja-JP"/>
              </w:rPr>
            </w:pPr>
          </w:p>
        </w:tc>
        <w:tc>
          <w:tcPr>
            <w:tcW w:w="1841" w:type="dxa"/>
          </w:tcPr>
          <w:p w14:paraId="2F1DC8AB" w14:textId="77777777" w:rsidR="00753950" w:rsidRPr="002476A4" w:rsidRDefault="00753950" w:rsidP="00141C60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 w:cstheme="minorHAnsi"/>
                <w:lang w:eastAsia="ja-JP"/>
              </w:rPr>
            </w:pPr>
          </w:p>
        </w:tc>
        <w:tc>
          <w:tcPr>
            <w:tcW w:w="2046" w:type="dxa"/>
          </w:tcPr>
          <w:p w14:paraId="24A81334" w14:textId="77777777" w:rsidR="00753950" w:rsidRPr="002476A4" w:rsidRDefault="00753950" w:rsidP="00141C60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 w:cstheme="minorHAnsi"/>
                <w:b/>
                <w:bCs/>
                <w:lang w:eastAsia="ja-JP"/>
              </w:rPr>
            </w:pPr>
          </w:p>
        </w:tc>
        <w:tc>
          <w:tcPr>
            <w:tcW w:w="2046" w:type="dxa"/>
          </w:tcPr>
          <w:p w14:paraId="5EF56584" w14:textId="77777777" w:rsidR="00753950" w:rsidRPr="002476A4" w:rsidRDefault="00753950" w:rsidP="00141C60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 w:cstheme="minorHAnsi"/>
                <w:b/>
                <w:bCs/>
                <w:lang w:eastAsia="ja-JP"/>
              </w:rPr>
            </w:pPr>
          </w:p>
        </w:tc>
      </w:tr>
    </w:tbl>
    <w:p w14:paraId="7EB3FDCA" w14:textId="77777777" w:rsidR="00C729DB" w:rsidRPr="002476A4" w:rsidRDefault="00C729DB" w:rsidP="00C729DB">
      <w:pPr>
        <w:spacing w:after="0" w:line="360" w:lineRule="auto"/>
        <w:rPr>
          <w:rFonts w:ascii="Century Gothic" w:eastAsia="Calibri" w:hAnsi="Century Gothic" w:cs="Arial"/>
          <w:kern w:val="0"/>
          <w:sz w:val="16"/>
          <w:szCs w:val="16"/>
          <w14:ligatures w14:val="none"/>
        </w:rPr>
      </w:pPr>
    </w:p>
    <w:p w14:paraId="5A1C1C87" w14:textId="77777777" w:rsidR="00C729DB" w:rsidRPr="002476A4" w:rsidRDefault="00C729DB" w:rsidP="00C729DB">
      <w:pPr>
        <w:spacing w:after="0" w:line="360" w:lineRule="auto"/>
        <w:rPr>
          <w:rFonts w:ascii="Century Gothic" w:eastAsia="Calibri" w:hAnsi="Century Gothic" w:cs="Arial"/>
          <w:kern w:val="0"/>
          <w:sz w:val="16"/>
          <w:szCs w:val="16"/>
          <w14:ligatures w14:val="none"/>
        </w:rPr>
      </w:pPr>
    </w:p>
    <w:p w14:paraId="037F417C" w14:textId="77777777" w:rsidR="00C729DB" w:rsidRPr="002476A4" w:rsidRDefault="00C729DB" w:rsidP="00C729DB">
      <w:pPr>
        <w:widowControl w:val="0"/>
        <w:autoSpaceDE w:val="0"/>
        <w:autoSpaceDN w:val="0"/>
        <w:spacing w:line="278" w:lineRule="auto"/>
        <w:ind w:left="-426"/>
        <w:contextualSpacing/>
        <w:rPr>
          <w:rFonts w:ascii="Century Gothic" w:eastAsia="Calibri" w:hAnsi="Century Gothic"/>
          <w:b/>
          <w:sz w:val="20"/>
          <w:szCs w:val="20"/>
          <w:u w:val="single"/>
          <w:lang w:eastAsia="ja-JP"/>
        </w:rPr>
      </w:pPr>
      <w:r w:rsidRPr="002476A4">
        <w:rPr>
          <w:rFonts w:ascii="Century Gothic" w:eastAsia="Calibri" w:hAnsi="Century Gothic"/>
          <w:b/>
          <w:sz w:val="20"/>
          <w:szCs w:val="20"/>
          <w:u w:val="single"/>
          <w:lang w:eastAsia="ja-JP"/>
        </w:rPr>
        <w:t>UWAGA: Zamawiający podaje sposób wyliczenia wartości netto i brutto:</w:t>
      </w:r>
    </w:p>
    <w:p w14:paraId="43FFEEBD" w14:textId="77777777" w:rsidR="00C729DB" w:rsidRPr="002476A4" w:rsidRDefault="00C729DB" w:rsidP="00C729DB">
      <w:pPr>
        <w:widowControl w:val="0"/>
        <w:autoSpaceDE w:val="0"/>
        <w:autoSpaceDN w:val="0"/>
        <w:spacing w:line="278" w:lineRule="auto"/>
        <w:ind w:left="-426"/>
        <w:contextualSpacing/>
        <w:rPr>
          <w:rFonts w:ascii="Century Gothic" w:eastAsia="Calibri" w:hAnsi="Century Gothic"/>
          <w:b/>
          <w:sz w:val="20"/>
          <w:szCs w:val="20"/>
          <w:lang w:eastAsia="ja-JP"/>
        </w:rPr>
      </w:pPr>
      <w:bookmarkStart w:id="1" w:name="_Hlk65832846"/>
      <w:r w:rsidRPr="002476A4">
        <w:rPr>
          <w:rFonts w:ascii="Century Gothic" w:eastAsia="Calibri" w:hAnsi="Century Gothic"/>
          <w:b/>
          <w:sz w:val="20"/>
          <w:szCs w:val="20"/>
          <w:lang w:eastAsia="ja-JP"/>
        </w:rPr>
        <w:t>Cena jednostkowa netto x ilość = wartość netto</w:t>
      </w:r>
    </w:p>
    <w:p w14:paraId="4C76A772" w14:textId="77777777" w:rsidR="00C729DB" w:rsidRDefault="00C729DB" w:rsidP="00C729DB">
      <w:pPr>
        <w:widowControl w:val="0"/>
        <w:autoSpaceDE w:val="0"/>
        <w:autoSpaceDN w:val="0"/>
        <w:spacing w:line="278" w:lineRule="auto"/>
        <w:ind w:left="-426"/>
        <w:contextualSpacing/>
        <w:rPr>
          <w:rFonts w:ascii="Century Gothic" w:eastAsia="Calibri" w:hAnsi="Century Gothic"/>
          <w:b/>
          <w:sz w:val="20"/>
          <w:szCs w:val="20"/>
          <w:lang w:eastAsia="ja-JP"/>
        </w:rPr>
      </w:pPr>
      <w:r w:rsidRPr="002476A4">
        <w:rPr>
          <w:rFonts w:ascii="Century Gothic" w:eastAsia="Calibri" w:hAnsi="Century Gothic"/>
          <w:b/>
          <w:sz w:val="20"/>
          <w:szCs w:val="20"/>
          <w:lang w:eastAsia="ja-JP"/>
        </w:rPr>
        <w:t>Wartość netto + stawka podatku Vat = wartość brutto</w:t>
      </w:r>
    </w:p>
    <w:p w14:paraId="561237AB" w14:textId="77777777" w:rsidR="00CF215B" w:rsidRDefault="00CF215B" w:rsidP="00C729DB">
      <w:pPr>
        <w:widowControl w:val="0"/>
        <w:autoSpaceDE w:val="0"/>
        <w:autoSpaceDN w:val="0"/>
        <w:spacing w:line="278" w:lineRule="auto"/>
        <w:ind w:left="-426"/>
        <w:contextualSpacing/>
        <w:rPr>
          <w:rFonts w:ascii="Century Gothic" w:eastAsia="Calibri" w:hAnsi="Century Gothic"/>
          <w:b/>
          <w:sz w:val="20"/>
          <w:szCs w:val="20"/>
          <w:lang w:eastAsia="ja-JP"/>
        </w:rPr>
      </w:pPr>
    </w:p>
    <w:p w14:paraId="6A1F796E" w14:textId="77777777" w:rsidR="00CF215B" w:rsidRDefault="00CF215B" w:rsidP="00C729DB">
      <w:pPr>
        <w:widowControl w:val="0"/>
        <w:autoSpaceDE w:val="0"/>
        <w:autoSpaceDN w:val="0"/>
        <w:spacing w:line="278" w:lineRule="auto"/>
        <w:ind w:left="-426"/>
        <w:contextualSpacing/>
        <w:rPr>
          <w:rFonts w:ascii="Century Gothic" w:eastAsia="Calibri" w:hAnsi="Century Gothic"/>
          <w:b/>
          <w:sz w:val="20"/>
          <w:szCs w:val="20"/>
          <w:lang w:eastAsia="ja-JP"/>
        </w:rPr>
      </w:pPr>
    </w:p>
    <w:p w14:paraId="23F7ED5D" w14:textId="77777777" w:rsidR="00CF215B" w:rsidRPr="00CF215B" w:rsidRDefault="00CF215B" w:rsidP="00CF215B">
      <w:pPr>
        <w:widowControl w:val="0"/>
        <w:autoSpaceDE w:val="0"/>
        <w:autoSpaceDN w:val="0"/>
        <w:spacing w:line="278" w:lineRule="auto"/>
        <w:ind w:left="-426"/>
        <w:contextualSpacing/>
        <w:rPr>
          <w:rFonts w:ascii="Century Gothic" w:eastAsia="Calibri" w:hAnsi="Century Gothic"/>
          <w:b/>
          <w:sz w:val="20"/>
          <w:szCs w:val="20"/>
          <w:u w:val="single"/>
          <w:lang w:eastAsia="ja-JP"/>
        </w:rPr>
      </w:pPr>
      <w:r w:rsidRPr="00CF215B">
        <w:rPr>
          <w:rFonts w:ascii="Century Gothic" w:eastAsia="Calibri" w:hAnsi="Century Gothic"/>
          <w:b/>
          <w:sz w:val="20"/>
          <w:szCs w:val="20"/>
          <w:u w:val="single"/>
          <w:lang w:eastAsia="ja-JP"/>
        </w:rPr>
        <w:t xml:space="preserve">Brak wypełnienia kolumn wskazanych dla Wykonawcy (tu pustych kolumn) spowoduje odrzucenie oferty </w:t>
      </w:r>
      <w:r w:rsidRPr="00CF215B">
        <w:rPr>
          <w:rFonts w:ascii="Century Gothic" w:eastAsia="Calibri" w:hAnsi="Century Gothic"/>
          <w:b/>
          <w:sz w:val="20"/>
          <w:szCs w:val="20"/>
          <w:u w:val="single"/>
          <w:lang w:eastAsia="ja-JP"/>
        </w:rPr>
        <w:br/>
        <w:t>na podstawie art. 226 ust. 1 pkt. 5 ustawy Pzp.</w:t>
      </w:r>
    </w:p>
    <w:p w14:paraId="126D7220" w14:textId="77777777" w:rsidR="00CF215B" w:rsidRPr="002476A4" w:rsidRDefault="00CF215B" w:rsidP="00C729DB">
      <w:pPr>
        <w:widowControl w:val="0"/>
        <w:autoSpaceDE w:val="0"/>
        <w:autoSpaceDN w:val="0"/>
        <w:spacing w:line="278" w:lineRule="auto"/>
        <w:ind w:left="-426"/>
        <w:contextualSpacing/>
        <w:rPr>
          <w:rFonts w:ascii="Century Gothic" w:eastAsia="Calibri" w:hAnsi="Century Gothic"/>
          <w:b/>
          <w:sz w:val="20"/>
          <w:szCs w:val="20"/>
          <w:lang w:eastAsia="ja-JP"/>
        </w:rPr>
      </w:pPr>
    </w:p>
    <w:bookmarkEnd w:id="1"/>
    <w:p w14:paraId="71608ACA" w14:textId="77777777" w:rsidR="00BB15BA" w:rsidRPr="00F50BF3" w:rsidRDefault="00BB15BA" w:rsidP="00BB15BA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  <w:r w:rsidRPr="00F50BF3">
        <w:rPr>
          <w:rFonts w:ascii="Century Gothic" w:hAnsi="Century Gothic"/>
          <w:sz w:val="16"/>
          <w:szCs w:val="16"/>
        </w:rPr>
        <w:tab/>
      </w:r>
      <w:r w:rsidRPr="00F50BF3">
        <w:rPr>
          <w:rFonts w:ascii="Century Gothic" w:hAnsi="Century Gothic"/>
          <w:sz w:val="16"/>
          <w:szCs w:val="16"/>
        </w:rPr>
        <w:tab/>
      </w:r>
    </w:p>
    <w:p w14:paraId="1FB95EBF" w14:textId="77777777" w:rsidR="00BB15BA" w:rsidRPr="00F50BF3" w:rsidRDefault="00BB15BA" w:rsidP="00BB15BA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  <w:r w:rsidRPr="00F50BF3">
        <w:rPr>
          <w:rFonts w:ascii="Century Gothic" w:hAnsi="Century Gothic"/>
          <w:sz w:val="16"/>
          <w:szCs w:val="16"/>
        </w:rPr>
        <w:tab/>
      </w:r>
      <w:r w:rsidRPr="00F50BF3">
        <w:rPr>
          <w:rFonts w:ascii="Century Gothic" w:hAnsi="Century Gothic"/>
          <w:sz w:val="16"/>
          <w:szCs w:val="16"/>
        </w:rPr>
        <w:tab/>
      </w:r>
    </w:p>
    <w:p w14:paraId="25748680" w14:textId="77777777" w:rsidR="00BB15BA" w:rsidRPr="00F50BF3" w:rsidRDefault="00BB15BA" w:rsidP="00BB15BA">
      <w:pPr>
        <w:pStyle w:val="Bezodstpw"/>
        <w:spacing w:line="360" w:lineRule="auto"/>
        <w:jc w:val="right"/>
        <w:rPr>
          <w:rFonts w:ascii="Century Gothic" w:hAnsi="Century Gothic"/>
          <w:sz w:val="16"/>
          <w:szCs w:val="16"/>
        </w:rPr>
      </w:pPr>
      <w:r w:rsidRPr="00F50BF3">
        <w:rPr>
          <w:rFonts w:ascii="Century Gothic" w:hAnsi="Century Gothic"/>
          <w:sz w:val="16"/>
          <w:szCs w:val="16"/>
        </w:rPr>
        <w:tab/>
      </w:r>
      <w:r w:rsidRPr="00F50BF3">
        <w:rPr>
          <w:rFonts w:ascii="Century Gothic" w:hAnsi="Century Gothic"/>
          <w:sz w:val="16"/>
          <w:szCs w:val="16"/>
        </w:rPr>
        <w:tab/>
        <w:t>…………………………….</w:t>
      </w:r>
    </w:p>
    <w:p w14:paraId="0258B06C" w14:textId="77777777" w:rsidR="00BB15BA" w:rsidRPr="00F50BF3" w:rsidRDefault="00BB15BA" w:rsidP="00BB15BA">
      <w:pPr>
        <w:pStyle w:val="Bezodstpw"/>
        <w:spacing w:line="360" w:lineRule="auto"/>
        <w:jc w:val="right"/>
        <w:rPr>
          <w:rFonts w:ascii="Century Gothic" w:hAnsi="Century Gothic"/>
          <w:sz w:val="16"/>
          <w:szCs w:val="16"/>
        </w:rPr>
      </w:pPr>
      <w:r w:rsidRPr="00F50BF3">
        <w:rPr>
          <w:rFonts w:ascii="Century Gothic" w:hAnsi="Century Gothic"/>
          <w:sz w:val="16"/>
          <w:szCs w:val="16"/>
        </w:rPr>
        <w:tab/>
      </w:r>
      <w:r w:rsidRPr="00F50BF3">
        <w:rPr>
          <w:rFonts w:ascii="Century Gothic" w:hAnsi="Century Gothic"/>
          <w:sz w:val="16"/>
          <w:szCs w:val="16"/>
        </w:rPr>
        <w:tab/>
        <w:t>Podpis Wykonawcy</w:t>
      </w:r>
    </w:p>
    <w:p w14:paraId="1F74E37F" w14:textId="77777777" w:rsidR="00BB15BA" w:rsidRPr="00F50BF3" w:rsidRDefault="00BB15BA" w:rsidP="00BB15BA">
      <w:pPr>
        <w:spacing w:line="360" w:lineRule="auto"/>
        <w:ind w:left="360"/>
        <w:rPr>
          <w:rFonts w:ascii="Century Gothic" w:hAnsi="Century Gothic"/>
          <w:sz w:val="16"/>
          <w:szCs w:val="16"/>
        </w:rPr>
      </w:pPr>
    </w:p>
    <w:p w14:paraId="624844D2" w14:textId="77777777" w:rsidR="00BB15BA" w:rsidRPr="00F50BF3" w:rsidRDefault="00BB15BA" w:rsidP="00BB15BA">
      <w:pPr>
        <w:spacing w:line="360" w:lineRule="auto"/>
        <w:rPr>
          <w:rFonts w:ascii="Century Gothic" w:hAnsi="Century Gothic"/>
          <w:sz w:val="16"/>
          <w:szCs w:val="16"/>
        </w:rPr>
      </w:pPr>
    </w:p>
    <w:p w14:paraId="09851A4A" w14:textId="77777777" w:rsidR="00BB15BA" w:rsidRPr="00F50BF3" w:rsidRDefault="00BB15BA" w:rsidP="00BB15BA">
      <w:pPr>
        <w:spacing w:line="360" w:lineRule="auto"/>
        <w:rPr>
          <w:rFonts w:ascii="Century Gothic" w:hAnsi="Century Gothic"/>
          <w:sz w:val="16"/>
          <w:szCs w:val="16"/>
        </w:rPr>
      </w:pPr>
    </w:p>
    <w:bookmarkEnd w:id="0"/>
    <w:p w14:paraId="524E2EDF" w14:textId="77777777" w:rsidR="00BB15BA" w:rsidRPr="00F50BF3" w:rsidRDefault="00BB15BA" w:rsidP="00BB15BA">
      <w:pPr>
        <w:spacing w:line="360" w:lineRule="auto"/>
        <w:rPr>
          <w:rFonts w:ascii="Century Gothic" w:hAnsi="Century Gothic"/>
          <w:sz w:val="16"/>
          <w:szCs w:val="16"/>
        </w:rPr>
      </w:pPr>
    </w:p>
    <w:p w14:paraId="1C68FE60" w14:textId="77777777" w:rsidR="00BB15BA" w:rsidRPr="00F50BF3" w:rsidRDefault="00BB15BA" w:rsidP="00F14357">
      <w:pPr>
        <w:spacing w:line="360" w:lineRule="auto"/>
        <w:rPr>
          <w:rFonts w:ascii="Century Gothic" w:hAnsi="Century Gothic"/>
          <w:sz w:val="16"/>
          <w:szCs w:val="16"/>
        </w:rPr>
      </w:pPr>
    </w:p>
    <w:sectPr w:rsidR="00BB15BA" w:rsidRPr="00F50BF3" w:rsidSect="00C729DB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69CB2D" w14:textId="77777777" w:rsidR="007C12FD" w:rsidRDefault="007C12FD" w:rsidP="00DC3F18">
      <w:pPr>
        <w:spacing w:after="0" w:line="240" w:lineRule="auto"/>
      </w:pPr>
      <w:r>
        <w:separator/>
      </w:r>
    </w:p>
  </w:endnote>
  <w:endnote w:type="continuationSeparator" w:id="0">
    <w:p w14:paraId="59088845" w14:textId="77777777" w:rsidR="007C12FD" w:rsidRDefault="007C12FD" w:rsidP="00DC3F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Century Gothic" w:hAnsi="Century Gothic"/>
        <w:sz w:val="16"/>
        <w:szCs w:val="16"/>
      </w:rPr>
      <w:id w:val="-92559016"/>
      <w:docPartObj>
        <w:docPartGallery w:val="Page Numbers (Bottom of Page)"/>
        <w:docPartUnique/>
      </w:docPartObj>
    </w:sdtPr>
    <w:sdtEndPr/>
    <w:sdtContent>
      <w:sdt>
        <w:sdtPr>
          <w:rPr>
            <w:rFonts w:ascii="Century Gothic" w:hAnsi="Century Gothic"/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0FE24D70" w14:textId="77777777" w:rsidR="007E61B8" w:rsidRPr="00DC3F18" w:rsidRDefault="007E61B8">
            <w:pPr>
              <w:pStyle w:val="Stopka"/>
              <w:jc w:val="right"/>
              <w:rPr>
                <w:rFonts w:ascii="Century Gothic" w:hAnsi="Century Gothic"/>
                <w:sz w:val="16"/>
                <w:szCs w:val="16"/>
              </w:rPr>
            </w:pPr>
            <w:r w:rsidRPr="00DC3F18">
              <w:rPr>
                <w:rFonts w:ascii="Century Gothic" w:hAnsi="Century Gothic"/>
                <w:sz w:val="16"/>
                <w:szCs w:val="16"/>
              </w:rPr>
              <w:t xml:space="preserve">Strona </w:t>
            </w:r>
            <w:r w:rsidRPr="00DC3F18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begin"/>
            </w:r>
            <w:r w:rsidRPr="00DC3F18">
              <w:rPr>
                <w:rFonts w:ascii="Century Gothic" w:hAnsi="Century Gothic"/>
                <w:b/>
                <w:bCs/>
                <w:sz w:val="16"/>
                <w:szCs w:val="16"/>
              </w:rPr>
              <w:instrText>PAGE</w:instrText>
            </w:r>
            <w:r w:rsidRPr="00DC3F18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separate"/>
            </w:r>
            <w:r w:rsidRPr="00DC3F18">
              <w:rPr>
                <w:rFonts w:ascii="Century Gothic" w:hAnsi="Century Gothic"/>
                <w:b/>
                <w:bCs/>
                <w:sz w:val="16"/>
                <w:szCs w:val="16"/>
              </w:rPr>
              <w:t>2</w:t>
            </w:r>
            <w:r w:rsidRPr="00DC3F18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end"/>
            </w:r>
            <w:r w:rsidRPr="00DC3F18">
              <w:rPr>
                <w:rFonts w:ascii="Century Gothic" w:hAnsi="Century Gothic"/>
                <w:sz w:val="16"/>
                <w:szCs w:val="16"/>
              </w:rPr>
              <w:t xml:space="preserve"> z </w:t>
            </w:r>
            <w:r w:rsidRPr="00DC3F18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begin"/>
            </w:r>
            <w:r w:rsidRPr="00DC3F18">
              <w:rPr>
                <w:rFonts w:ascii="Century Gothic" w:hAnsi="Century Gothic"/>
                <w:b/>
                <w:bCs/>
                <w:sz w:val="16"/>
                <w:szCs w:val="16"/>
              </w:rPr>
              <w:instrText>NUMPAGES</w:instrText>
            </w:r>
            <w:r w:rsidRPr="00DC3F18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separate"/>
            </w:r>
            <w:r w:rsidRPr="00DC3F18">
              <w:rPr>
                <w:rFonts w:ascii="Century Gothic" w:hAnsi="Century Gothic"/>
                <w:b/>
                <w:bCs/>
                <w:sz w:val="16"/>
                <w:szCs w:val="16"/>
              </w:rPr>
              <w:t>2</w:t>
            </w:r>
            <w:r w:rsidRPr="00DC3F18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77C18A97" w14:textId="77777777" w:rsidR="007E61B8" w:rsidRPr="00DC3F18" w:rsidRDefault="007E61B8">
    <w:pPr>
      <w:pStyle w:val="Stopka"/>
      <w:rPr>
        <w:rFonts w:ascii="Century Gothic" w:hAnsi="Century Gothic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07E4E6" w14:textId="77777777" w:rsidR="007C12FD" w:rsidRDefault="007C12FD" w:rsidP="00DC3F18">
      <w:pPr>
        <w:spacing w:after="0" w:line="240" w:lineRule="auto"/>
      </w:pPr>
      <w:r>
        <w:separator/>
      </w:r>
    </w:p>
  </w:footnote>
  <w:footnote w:type="continuationSeparator" w:id="0">
    <w:p w14:paraId="7EBE7204" w14:textId="77777777" w:rsidR="007C12FD" w:rsidRDefault="007C12FD" w:rsidP="00DC3F1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73096E"/>
    <w:multiLevelType w:val="hybridMultilevel"/>
    <w:tmpl w:val="E4D685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240182"/>
    <w:multiLevelType w:val="hybridMultilevel"/>
    <w:tmpl w:val="F7A65B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7449619">
    <w:abstractNumId w:val="1"/>
  </w:num>
  <w:num w:numId="2" w16cid:durableId="10080974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4357"/>
    <w:rsid w:val="00054B37"/>
    <w:rsid w:val="00083036"/>
    <w:rsid w:val="002604DA"/>
    <w:rsid w:val="002B1C3A"/>
    <w:rsid w:val="00347260"/>
    <w:rsid w:val="003E036B"/>
    <w:rsid w:val="003F10DD"/>
    <w:rsid w:val="004B1F58"/>
    <w:rsid w:val="004F4D75"/>
    <w:rsid w:val="00633C85"/>
    <w:rsid w:val="00736DEB"/>
    <w:rsid w:val="00753950"/>
    <w:rsid w:val="007C12FD"/>
    <w:rsid w:val="007E61B8"/>
    <w:rsid w:val="007F0127"/>
    <w:rsid w:val="00857E25"/>
    <w:rsid w:val="009360AC"/>
    <w:rsid w:val="00BB15BA"/>
    <w:rsid w:val="00BD7A2D"/>
    <w:rsid w:val="00C729DB"/>
    <w:rsid w:val="00CD7147"/>
    <w:rsid w:val="00CF215B"/>
    <w:rsid w:val="00D117CC"/>
    <w:rsid w:val="00D806E5"/>
    <w:rsid w:val="00DC3F18"/>
    <w:rsid w:val="00EA573C"/>
    <w:rsid w:val="00EE0AAF"/>
    <w:rsid w:val="00F14357"/>
    <w:rsid w:val="00F36790"/>
    <w:rsid w:val="00F50BF3"/>
    <w:rsid w:val="00FA21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597785"/>
  <w15:chartTrackingRefBased/>
  <w15:docId w15:val="{03F5E634-358A-48B9-A100-39ECC2F329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1435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Bezodstpw">
    <w:name w:val="No Spacing"/>
    <w:uiPriority w:val="1"/>
    <w:qFormat/>
    <w:rsid w:val="00BB15BA"/>
    <w:pPr>
      <w:spacing w:after="0" w:line="240" w:lineRule="auto"/>
    </w:pPr>
    <w:rPr>
      <w:rFonts w:ascii="Arial" w:eastAsia="Calibri" w:hAnsi="Arial" w:cs="Arial"/>
      <w:kern w:val="0"/>
      <w:sz w:val="24"/>
      <w:szCs w:val="24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DC3F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C3F18"/>
  </w:style>
  <w:style w:type="paragraph" w:styleId="Stopka">
    <w:name w:val="footer"/>
    <w:basedOn w:val="Normalny"/>
    <w:link w:val="StopkaZnak"/>
    <w:uiPriority w:val="99"/>
    <w:unhideWhenUsed/>
    <w:rsid w:val="00DC3F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C3F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5732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</TotalTime>
  <Pages>12</Pages>
  <Words>2979</Words>
  <Characters>17878</Characters>
  <Application>Microsoft Office Word</Application>
  <DocSecurity>0</DocSecurity>
  <Lines>148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Garczarek</dc:creator>
  <cp:keywords/>
  <dc:description/>
  <cp:lastModifiedBy>Monika Ćwiertka</cp:lastModifiedBy>
  <cp:revision>17</cp:revision>
  <cp:lastPrinted>2025-10-15T07:54:00Z</cp:lastPrinted>
  <dcterms:created xsi:type="dcterms:W3CDTF">2025-10-13T09:45:00Z</dcterms:created>
  <dcterms:modified xsi:type="dcterms:W3CDTF">2025-10-20T07:47:00Z</dcterms:modified>
</cp:coreProperties>
</file>