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B5203" w14:textId="77777777" w:rsidR="002927FC" w:rsidRPr="00B96A62" w:rsidRDefault="002927FC" w:rsidP="002927FC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B96A62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B96A62">
        <w:rPr>
          <w:rFonts w:ascii="Century Gothic" w:hAnsi="Century Gothic"/>
          <w:b/>
          <w:bCs/>
          <w:sz w:val="16"/>
          <w:szCs w:val="16"/>
          <w:u w:val="single"/>
        </w:rPr>
        <w:t>nr 1 do umowy</w:t>
      </w:r>
    </w:p>
    <w:p w14:paraId="16661489" w14:textId="77777777" w:rsidR="002927FC" w:rsidRPr="00B96A62" w:rsidRDefault="002927FC" w:rsidP="002927FC">
      <w:pPr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652E7E45" w14:textId="77777777" w:rsidR="002927FC" w:rsidRPr="00B96A62" w:rsidRDefault="002927FC" w:rsidP="002927FC">
      <w:pPr>
        <w:pStyle w:val="Akapitzlist"/>
        <w:spacing w:line="360" w:lineRule="auto"/>
        <w:ind w:left="1080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B96A62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43AF073D" w14:textId="77777777" w:rsidR="002927FC" w:rsidRPr="00B96A62" w:rsidRDefault="002927FC" w:rsidP="002927FC">
      <w:pPr>
        <w:pStyle w:val="Akapitzlist"/>
        <w:spacing w:line="360" w:lineRule="auto"/>
        <w:ind w:left="1080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2CB597C3" w14:textId="77777777" w:rsidR="002927FC" w:rsidRPr="00B96A62" w:rsidRDefault="002927FC" w:rsidP="002927FC">
      <w:pPr>
        <w:pStyle w:val="Akapitzlist"/>
        <w:spacing w:line="360" w:lineRule="auto"/>
        <w:ind w:left="1080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D8BDD32" w14:textId="77777777" w:rsidR="005A52EB" w:rsidRPr="00B96A62" w:rsidRDefault="005A52EB" w:rsidP="005A52EB">
      <w:pPr>
        <w:pStyle w:val="Akapitzlist"/>
        <w:numPr>
          <w:ilvl w:val="0"/>
          <w:numId w:val="2"/>
        </w:numPr>
        <w:ind w:left="567"/>
        <w:rPr>
          <w:rFonts w:ascii="Century Gothic" w:hAnsi="Century Gothic"/>
          <w:b/>
          <w:sz w:val="16"/>
          <w:szCs w:val="16"/>
        </w:rPr>
      </w:pPr>
      <w:r w:rsidRPr="00B96A62">
        <w:rPr>
          <w:rFonts w:ascii="Century Gothic" w:hAnsi="Century Gothic"/>
          <w:b/>
          <w:sz w:val="16"/>
          <w:szCs w:val="16"/>
        </w:rPr>
        <w:t>Nieizotopowy, magnetyczny znacznik do detekcji węzłów chłonnych wartowniczych</w:t>
      </w:r>
    </w:p>
    <w:p w14:paraId="09B19A57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umożliwiający śródoperacyjne wykrywanie węzłów chłonnych wartowniczych (znacznik podawany przez chirurga bez konieczności współpracy z zakładem medycyny nuklearnej).</w:t>
      </w:r>
    </w:p>
    <w:p w14:paraId="7D7AA08B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do nieizotopowego systemu detekcji węzłów chłonnych wartowniczych, podawany podskórnie do tkanki śródmiąższowej, będący czarno-brązową, sterylną, wodną zawiesiną opłaszczonych karboksydekstranem cząstek superparamagnetycznego tlenku żelaza, dostarczany w jednorazowych i aseptycznych fiolkach</w:t>
      </w:r>
    </w:p>
    <w:p w14:paraId="646DE363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generujący zwrotne zsynchronizowane pole magnetyczne</w:t>
      </w:r>
    </w:p>
    <w:p w14:paraId="66B94692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dostarczany w opakowaniach po 10 szt.</w:t>
      </w:r>
    </w:p>
    <w:p w14:paraId="6CD547AC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sklasyfikowany jako wyrób medyczny klasy IIa zgodnie z Dyrektywą 93/42/EWG o wyrobach medycznych</w:t>
      </w:r>
    </w:p>
    <w:p w14:paraId="4D2B7C42" w14:textId="77777777" w:rsidR="005A52EB" w:rsidRPr="00B96A62" w:rsidRDefault="005A52EB" w:rsidP="005A52EB">
      <w:pPr>
        <w:pStyle w:val="Akapitzlist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przystosowany do przechowywania w temperaturze od 2 st. C do 30 st. C</w:t>
      </w:r>
    </w:p>
    <w:p w14:paraId="184AC3AD" w14:textId="77777777" w:rsidR="005A52EB" w:rsidRPr="00B96A62" w:rsidRDefault="005A52EB" w:rsidP="005A52EB">
      <w:pPr>
        <w:rPr>
          <w:rFonts w:ascii="Century Gothic" w:hAnsi="Century Gothic"/>
          <w:b/>
          <w:sz w:val="16"/>
          <w:szCs w:val="16"/>
          <w:u w:val="single"/>
        </w:rPr>
      </w:pPr>
      <w:r w:rsidRPr="00B96A62">
        <w:rPr>
          <w:rFonts w:ascii="Century Gothic" w:hAnsi="Century Gothic"/>
          <w:b/>
          <w:sz w:val="16"/>
          <w:szCs w:val="16"/>
          <w:u w:val="single"/>
        </w:rPr>
        <w:t>Ilość: 6 opakowań po 10 szt. fiolek 2 ml.</w:t>
      </w:r>
    </w:p>
    <w:p w14:paraId="07417335" w14:textId="77777777" w:rsidR="00D067F7" w:rsidRPr="00B96A62" w:rsidRDefault="00D067F7" w:rsidP="005A52EB">
      <w:pPr>
        <w:rPr>
          <w:rFonts w:ascii="Century Gothic" w:hAnsi="Century Gothic"/>
          <w:b/>
          <w:sz w:val="16"/>
          <w:szCs w:val="16"/>
          <w:u w:val="single"/>
        </w:rPr>
      </w:pPr>
    </w:p>
    <w:p w14:paraId="74ED63EF" w14:textId="77777777" w:rsidR="005A52EB" w:rsidRPr="00B96A62" w:rsidRDefault="005A52EB" w:rsidP="005A52EB">
      <w:pPr>
        <w:pStyle w:val="Akapitzlist"/>
        <w:numPr>
          <w:ilvl w:val="0"/>
          <w:numId w:val="2"/>
        </w:numPr>
        <w:ind w:left="567"/>
        <w:rPr>
          <w:rFonts w:ascii="Century Gothic" w:hAnsi="Century Gothic"/>
          <w:b/>
          <w:sz w:val="16"/>
          <w:szCs w:val="16"/>
        </w:rPr>
      </w:pPr>
      <w:r w:rsidRPr="00B96A62">
        <w:rPr>
          <w:rFonts w:ascii="Century Gothic" w:hAnsi="Century Gothic"/>
          <w:b/>
          <w:sz w:val="16"/>
          <w:szCs w:val="16"/>
        </w:rPr>
        <w:t>Znacznik magnetyczny do znakowania zmian niepalpacyjnych.</w:t>
      </w:r>
    </w:p>
    <w:p w14:paraId="521FC40E" w14:textId="77777777" w:rsidR="005A52EB" w:rsidRPr="00B96A62" w:rsidRDefault="005A52EB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magnetyczny przeznaczony do wprowadzania przezskórnego do piersi w celu tymczasowego znakowania miejsca przeznaczonego do usunięcia</w:t>
      </w:r>
      <w:r w:rsidR="00DE58AC" w:rsidRPr="00B96A62">
        <w:rPr>
          <w:rFonts w:ascii="Century Gothic" w:hAnsi="Century Gothic"/>
          <w:sz w:val="16"/>
          <w:szCs w:val="16"/>
        </w:rPr>
        <w:t xml:space="preserve"> chirurgicznego nadający się do stosowania w tkankach miękkich</w:t>
      </w:r>
    </w:p>
    <w:p w14:paraId="27B12D39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magnetyczny przeznaczony do wykrywania przy użyciu sondy (możliwa jest lokalizacja znacznika przed wykonaniem nacięcia i jego usunięcie chirurgiczne razem z tkanką docelową).</w:t>
      </w:r>
    </w:p>
    <w:p w14:paraId="532098E8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magnetyczny o wymiarach ok 5 mm długości 0,9 mm średnicy do precyzyjnej lokalizacji zmian niepalpacyjnych.</w:t>
      </w:r>
    </w:p>
    <w:p w14:paraId="2496D4C6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będący sterylnym, jednorazowym produktem, składającym się ze znacznika magnetycznego (ziarna) wstępnie załadowanego do systemu wprowadzającego podawany pod kontrolą USG lub RTG.</w:t>
      </w:r>
    </w:p>
    <w:p w14:paraId="496D7743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System wprowadzający składający się z mandrynu, blokady mandrynu zapobiegającej przypadkowemu uwolnieniu i igły introduktora 18 ga, długość 7 cm.</w:t>
      </w:r>
    </w:p>
    <w:p w14:paraId="07851C2F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wstępnie załadowany wewnątrz igły i utrzymywany zatyczką z wosku kostnego. Po naciśnięciu mandrynu znacznik jest uwalniany z końca igły.</w:t>
      </w:r>
    </w:p>
    <w:p w14:paraId="1896FE8F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wykrywany pod kątem 360 stopni z korelacją siły sygnału do odległości od sondy którego siła sygnału znacznika nie ulega osłabieniu wraz z upływem czasu.</w:t>
      </w:r>
    </w:p>
    <w:p w14:paraId="73B0725D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dostarczany w opakowaniach po 10 szt.</w:t>
      </w:r>
    </w:p>
    <w:p w14:paraId="53203F63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Zakres temperatur do przechowywania od 0 st. C do 30 st. C</w:t>
      </w:r>
    </w:p>
    <w:p w14:paraId="172C9E7F" w14:textId="77777777" w:rsidR="00DE58AC" w:rsidRPr="00B96A62" w:rsidRDefault="00DE58AC" w:rsidP="005A52EB">
      <w:pPr>
        <w:pStyle w:val="Akapitzlist"/>
        <w:numPr>
          <w:ilvl w:val="0"/>
          <w:numId w:val="3"/>
        </w:numPr>
        <w:ind w:left="709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Znacznik z certyfikatem CE dla wyrobu medycznego zgodnie z Dyrektywą 93/42/EWG o wyrobach medycznych.</w:t>
      </w:r>
    </w:p>
    <w:p w14:paraId="25C92656" w14:textId="77777777" w:rsidR="00DE58AC" w:rsidRPr="00B96A62" w:rsidRDefault="00DE58AC" w:rsidP="00DE58AC">
      <w:pPr>
        <w:rPr>
          <w:rFonts w:ascii="Century Gothic" w:hAnsi="Century Gothic"/>
          <w:b/>
          <w:sz w:val="16"/>
          <w:szCs w:val="16"/>
          <w:u w:val="single"/>
        </w:rPr>
      </w:pPr>
      <w:r w:rsidRPr="00B96A62">
        <w:rPr>
          <w:rFonts w:ascii="Century Gothic" w:hAnsi="Century Gothic"/>
          <w:b/>
          <w:sz w:val="16"/>
          <w:szCs w:val="16"/>
          <w:u w:val="single"/>
        </w:rPr>
        <w:t>Ilość: 4 opakowania po 10 szt.</w:t>
      </w:r>
    </w:p>
    <w:p w14:paraId="30D06D90" w14:textId="77777777" w:rsidR="00D067F7" w:rsidRPr="00B96A62" w:rsidRDefault="00D067F7" w:rsidP="00DE58AC">
      <w:pPr>
        <w:rPr>
          <w:rFonts w:ascii="Century Gothic" w:hAnsi="Century Gothic"/>
          <w:b/>
          <w:sz w:val="16"/>
          <w:szCs w:val="16"/>
          <w:u w:val="single"/>
        </w:rPr>
      </w:pPr>
    </w:p>
    <w:p w14:paraId="4707E941" w14:textId="77777777" w:rsidR="00AC7C10" w:rsidRPr="00B96A62" w:rsidRDefault="00AC7C10" w:rsidP="00DE58AC">
      <w:pPr>
        <w:rPr>
          <w:rFonts w:ascii="Century Gothic" w:hAnsi="Century Gothic"/>
          <w:color w:val="EE0000"/>
          <w:sz w:val="16"/>
          <w:szCs w:val="16"/>
          <w:u w:val="single"/>
        </w:rPr>
      </w:pPr>
      <w:r w:rsidRPr="00B96A62">
        <w:rPr>
          <w:rFonts w:ascii="Century Gothic" w:hAnsi="Century Gothic"/>
          <w:color w:val="EE0000"/>
          <w:sz w:val="16"/>
          <w:szCs w:val="16"/>
          <w:u w:val="single"/>
        </w:rPr>
        <w:t>Zamawiający przedmiot zamówienia opisany w</w:t>
      </w:r>
      <w:r w:rsidR="00D4185D" w:rsidRPr="00B96A62">
        <w:rPr>
          <w:rFonts w:ascii="Century Gothic" w:hAnsi="Century Gothic"/>
          <w:color w:val="EE0000"/>
          <w:sz w:val="16"/>
          <w:szCs w:val="16"/>
          <w:u w:val="single"/>
        </w:rPr>
        <w:t xml:space="preserve"> pkt</w:t>
      </w:r>
      <w:r w:rsidRPr="00B96A62">
        <w:rPr>
          <w:rFonts w:ascii="Century Gothic" w:hAnsi="Century Gothic"/>
          <w:color w:val="EE0000"/>
          <w:sz w:val="16"/>
          <w:szCs w:val="16"/>
          <w:u w:val="single"/>
        </w:rPr>
        <w:t xml:space="preserve"> I i II ma prawo zamawiać w 3 transzach, dla każdego punktu (I i II).</w:t>
      </w:r>
    </w:p>
    <w:p w14:paraId="158C4872" w14:textId="77777777" w:rsidR="002927FC" w:rsidRPr="00B96A62" w:rsidRDefault="002927FC" w:rsidP="00DE58AC">
      <w:pPr>
        <w:rPr>
          <w:rFonts w:ascii="Century Gothic" w:hAnsi="Century Gothic"/>
          <w:sz w:val="16"/>
          <w:szCs w:val="16"/>
        </w:rPr>
      </w:pPr>
    </w:p>
    <w:p w14:paraId="41C3EB1F" w14:textId="77777777" w:rsidR="002927FC" w:rsidRPr="00B96A62" w:rsidRDefault="002927FC" w:rsidP="00DE58AC">
      <w:pPr>
        <w:rPr>
          <w:rFonts w:ascii="Century Gothic" w:hAnsi="Century Gothic"/>
          <w:sz w:val="16"/>
          <w:szCs w:val="16"/>
        </w:rPr>
      </w:pPr>
    </w:p>
    <w:p w14:paraId="141FD676" w14:textId="77777777" w:rsidR="00DE58AC" w:rsidRPr="00B96A62" w:rsidRDefault="00DE58AC" w:rsidP="00DE58AC">
      <w:pPr>
        <w:pStyle w:val="Akapitzlist"/>
        <w:numPr>
          <w:ilvl w:val="0"/>
          <w:numId w:val="2"/>
        </w:numPr>
        <w:ind w:left="567"/>
        <w:rPr>
          <w:rFonts w:ascii="Century Gothic" w:hAnsi="Century Gothic"/>
          <w:b/>
          <w:sz w:val="16"/>
          <w:szCs w:val="16"/>
        </w:rPr>
      </w:pPr>
      <w:r w:rsidRPr="00B96A62">
        <w:rPr>
          <w:rFonts w:ascii="Century Gothic" w:hAnsi="Century Gothic"/>
          <w:b/>
          <w:sz w:val="16"/>
          <w:szCs w:val="16"/>
        </w:rPr>
        <w:t xml:space="preserve">Zamawiający wraz z zakupem </w:t>
      </w:r>
      <w:r w:rsidR="00B96A62">
        <w:rPr>
          <w:rFonts w:ascii="Century Gothic" w:hAnsi="Century Gothic"/>
          <w:b/>
          <w:sz w:val="16"/>
          <w:szCs w:val="16"/>
        </w:rPr>
        <w:t>n</w:t>
      </w:r>
      <w:r w:rsidRPr="00B96A62">
        <w:rPr>
          <w:rFonts w:ascii="Century Gothic" w:hAnsi="Century Gothic"/>
          <w:b/>
          <w:sz w:val="16"/>
          <w:szCs w:val="16"/>
        </w:rPr>
        <w:t xml:space="preserve">ieizotopowych, magnetycznych znaczników do detekcji węzłów chłonnych wartowniczych oraz znaczników magnetycznych do znakowania zmian niepalpacyjnych zobowiązuje </w:t>
      </w:r>
      <w:r w:rsidR="009027DF" w:rsidRPr="00B96A62">
        <w:rPr>
          <w:rFonts w:ascii="Century Gothic" w:hAnsi="Century Gothic"/>
          <w:b/>
          <w:sz w:val="16"/>
          <w:szCs w:val="16"/>
        </w:rPr>
        <w:t>Wykonawcę</w:t>
      </w:r>
      <w:r w:rsidRPr="00B96A62">
        <w:rPr>
          <w:rFonts w:ascii="Century Gothic" w:hAnsi="Century Gothic"/>
          <w:b/>
          <w:sz w:val="16"/>
          <w:szCs w:val="16"/>
        </w:rPr>
        <w:t xml:space="preserve"> do przekazania Zamawiającemu</w:t>
      </w:r>
      <w:r w:rsidR="009027DF" w:rsidRPr="00B96A62">
        <w:rPr>
          <w:rFonts w:ascii="Century Gothic" w:hAnsi="Century Gothic"/>
          <w:b/>
          <w:sz w:val="16"/>
          <w:szCs w:val="16"/>
        </w:rPr>
        <w:t>, w ramach umowy dzierżawy, Sondy do nieizotopowej detekcji węzłów chłonnych wartowniczych</w:t>
      </w:r>
    </w:p>
    <w:p w14:paraId="24732A4F" w14:textId="77777777" w:rsidR="00DE58AC" w:rsidRPr="00B96A62" w:rsidRDefault="009027DF" w:rsidP="009027DF">
      <w:pPr>
        <w:ind w:left="-153"/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Parametry sondy:</w:t>
      </w:r>
    </w:p>
    <w:p w14:paraId="712AF070" w14:textId="77777777" w:rsidR="00DE58AC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System umożliwiający śródoperacyjne wykrywanie węzłów chłonnych wartowniczych (znacznik podawany przez chirurga bez konieczności współpracy z zakładem medycyny nuklearnej).</w:t>
      </w:r>
    </w:p>
    <w:p w14:paraId="1756ED6E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System nie izotopowy, działający w oparciu o znacznik będący superparamagnetykiem (podawany podskórnie do tkanki śródmiąższowej) i sondę generującą pole magnetyczne oraz odbierającą zwrotne zsynchronizowane pole magnetyczne pochodzące od znacznika,</w:t>
      </w:r>
    </w:p>
    <w:p w14:paraId="7CDF486F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lastRenderedPageBreak/>
        <w:t>System pozwalający na ustawianie tła pola magnetycznego, funkcja uruchomiania przyciskiem na jednostce bazowej lub przełącznikiem nożnym podłączonym do jednostki bazowej,</w:t>
      </w:r>
    </w:p>
    <w:p w14:paraId="1CEAC25D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Głowica połączona z jednostką bazową giętkim przewodem o długości min. 2 metrów,</w:t>
      </w:r>
    </w:p>
    <w:p w14:paraId="752F1CF5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Jednostka główna z wyświetlaczem ciekłokrystalicznym pozwalającym na odczyt wartości mierzonego sygnału,</w:t>
      </w:r>
    </w:p>
    <w:p w14:paraId="2B76E588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Jednostka główna poza wskazanie wartości liczbowych generująca modulowany dźwięk o różnej częstotliwości w zależności od natężenia pola (możliwość regulacji głośności),</w:t>
      </w:r>
    </w:p>
    <w:p w14:paraId="0B505612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Możliwość pracy na 3 poziomach czułości urządzenia</w:t>
      </w:r>
    </w:p>
    <w:p w14:paraId="2402A4D7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Jednostka bazowa z uchwytem pozwalającym na wygodne przenoszenie urządzenia</w:t>
      </w:r>
    </w:p>
    <w:p w14:paraId="147A9DB5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System kontroli pracy urządzenia za pomocą dostarczanego wzorca o znanej wartości sygnału</w:t>
      </w:r>
    </w:p>
    <w:p w14:paraId="3F00D4D0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Zasilanie sieciowe 220-230 V (50-60Hz).</w:t>
      </w:r>
    </w:p>
    <w:p w14:paraId="1DF101E9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Urządzenie medyczne oznaczone znakiem CE</w:t>
      </w:r>
    </w:p>
    <w:p w14:paraId="41E31306" w14:textId="77777777" w:rsidR="009027DF" w:rsidRPr="00B96A62" w:rsidRDefault="009027DF" w:rsidP="009027DF">
      <w:pPr>
        <w:pStyle w:val="Akapitzlist"/>
        <w:numPr>
          <w:ilvl w:val="0"/>
          <w:numId w:val="4"/>
        </w:num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System zarejestrowany jako wyrób medyczny klasy IIa zgodnie z Dyrektywą 63/42/EWG o wyrobach medycznych.</w:t>
      </w:r>
    </w:p>
    <w:p w14:paraId="3F5D9CAE" w14:textId="77777777" w:rsidR="008A428F" w:rsidRPr="00B96A62" w:rsidRDefault="00AC7C10" w:rsidP="008A428F">
      <w:pPr>
        <w:rPr>
          <w:rFonts w:ascii="Century Gothic" w:hAnsi="Century Gothic"/>
          <w:sz w:val="16"/>
          <w:szCs w:val="16"/>
        </w:rPr>
      </w:pPr>
      <w:r w:rsidRPr="00B96A62">
        <w:rPr>
          <w:rFonts w:ascii="Century Gothic" w:hAnsi="Century Gothic"/>
          <w:sz w:val="16"/>
          <w:szCs w:val="16"/>
        </w:rPr>
        <w:t>Czas trwania dzierżawy 12 miesięcy.</w:t>
      </w:r>
    </w:p>
    <w:p w14:paraId="05508E57" w14:textId="77777777" w:rsidR="008A428F" w:rsidRPr="00B96A62" w:rsidRDefault="002052D6" w:rsidP="008A428F">
      <w:pPr>
        <w:rPr>
          <w:rFonts w:ascii="Century Gothic" w:hAnsi="Century Gothic"/>
          <w:sz w:val="16"/>
          <w:szCs w:val="16"/>
        </w:rPr>
      </w:pPr>
      <w:bookmarkStart w:id="0" w:name="_Hlk208307604"/>
      <w:r w:rsidRPr="00B96A62">
        <w:rPr>
          <w:rFonts w:ascii="Century Gothic" w:hAnsi="Century Gothic"/>
          <w:sz w:val="16"/>
          <w:szCs w:val="16"/>
        </w:rPr>
        <w:t>Dostawca</w:t>
      </w:r>
      <w:r w:rsidR="008A428F" w:rsidRPr="00B96A62">
        <w:rPr>
          <w:rFonts w:ascii="Century Gothic" w:hAnsi="Century Gothic"/>
          <w:sz w:val="16"/>
          <w:szCs w:val="16"/>
        </w:rPr>
        <w:t xml:space="preserve"> zobowiązany jest przedstawić dokumenty zezwalające na użycie przedmiotu postępowania w jednostkach służby </w:t>
      </w:r>
      <w:r w:rsidR="005368B5" w:rsidRPr="00B96A62">
        <w:rPr>
          <w:rFonts w:ascii="Century Gothic" w:hAnsi="Century Gothic"/>
          <w:sz w:val="16"/>
          <w:szCs w:val="16"/>
        </w:rPr>
        <w:t>zdrowia</w:t>
      </w:r>
      <w:r w:rsidR="008A428F" w:rsidRPr="00B96A62">
        <w:rPr>
          <w:rFonts w:ascii="Century Gothic" w:hAnsi="Century Gothic"/>
          <w:sz w:val="16"/>
          <w:szCs w:val="16"/>
        </w:rPr>
        <w:t>, minimum: Deklaracja CE, zgłoszenie do Urzędu Rejestracji Produktów Leczniczych, Wyrobów Medycznych i Produktów Biobójczych</w:t>
      </w:r>
      <w:r w:rsidR="00AC7C10" w:rsidRPr="00B96A62">
        <w:rPr>
          <w:rFonts w:ascii="Century Gothic" w:hAnsi="Century Gothic"/>
          <w:sz w:val="16"/>
          <w:szCs w:val="16"/>
        </w:rPr>
        <w:t xml:space="preserve">. </w:t>
      </w:r>
      <w:bookmarkEnd w:id="0"/>
    </w:p>
    <w:p w14:paraId="7E714BE2" w14:textId="77777777" w:rsidR="002927FC" w:rsidRPr="00B96A62" w:rsidRDefault="002927FC" w:rsidP="008A428F">
      <w:pPr>
        <w:rPr>
          <w:rFonts w:ascii="Century Gothic" w:hAnsi="Century Gothic"/>
          <w:sz w:val="16"/>
          <w:szCs w:val="16"/>
        </w:rPr>
      </w:pPr>
    </w:p>
    <w:p w14:paraId="5B792AB7" w14:textId="77777777" w:rsidR="002927FC" w:rsidRPr="00B96A62" w:rsidRDefault="002927FC" w:rsidP="008A428F">
      <w:pPr>
        <w:rPr>
          <w:rFonts w:ascii="Century Gothic" w:hAnsi="Century Gothic"/>
          <w:sz w:val="16"/>
          <w:szCs w:val="16"/>
        </w:rPr>
      </w:pPr>
    </w:p>
    <w:p w14:paraId="52689402" w14:textId="77777777" w:rsidR="002927FC" w:rsidRPr="00B96A62" w:rsidRDefault="002927FC" w:rsidP="008A428F">
      <w:pPr>
        <w:rPr>
          <w:rFonts w:ascii="Century Gothic" w:hAnsi="Century Gothic"/>
          <w:sz w:val="16"/>
          <w:szCs w:val="16"/>
        </w:rPr>
        <w:sectPr w:rsidR="002927FC" w:rsidRPr="00B96A6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102EF4A" w14:textId="77777777" w:rsidR="002927FC" w:rsidRPr="00B96A62" w:rsidRDefault="002927FC" w:rsidP="008A428F">
      <w:pPr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15037" w:type="dxa"/>
        <w:tblInd w:w="-431" w:type="dxa"/>
        <w:tblLook w:val="04A0" w:firstRow="1" w:lastRow="0" w:firstColumn="1" w:lastColumn="0" w:noHBand="0" w:noVBand="1"/>
      </w:tblPr>
      <w:tblGrid>
        <w:gridCol w:w="707"/>
        <w:gridCol w:w="3329"/>
        <w:gridCol w:w="844"/>
        <w:gridCol w:w="1015"/>
        <w:gridCol w:w="1579"/>
        <w:gridCol w:w="1435"/>
        <w:gridCol w:w="1292"/>
        <w:gridCol w:w="1737"/>
        <w:gridCol w:w="1388"/>
        <w:gridCol w:w="1711"/>
      </w:tblGrid>
      <w:tr w:rsidR="00DD1310" w:rsidRPr="00B96A62" w14:paraId="6EEC9BC9" w14:textId="54A7CC95" w:rsidTr="00055689">
        <w:trPr>
          <w:trHeight w:val="1178"/>
        </w:trPr>
        <w:tc>
          <w:tcPr>
            <w:tcW w:w="707" w:type="dxa"/>
          </w:tcPr>
          <w:p w14:paraId="38A2A633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329" w:type="dxa"/>
          </w:tcPr>
          <w:p w14:paraId="52CED4D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844" w:type="dxa"/>
          </w:tcPr>
          <w:p w14:paraId="63C7D534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1015" w:type="dxa"/>
          </w:tcPr>
          <w:p w14:paraId="044B2654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579" w:type="dxa"/>
          </w:tcPr>
          <w:p w14:paraId="520A1059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 [PLN]</w:t>
            </w:r>
          </w:p>
        </w:tc>
        <w:tc>
          <w:tcPr>
            <w:tcW w:w="1435" w:type="dxa"/>
          </w:tcPr>
          <w:p w14:paraId="67220A22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1FEBB87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  <w:p w14:paraId="31102EE1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[PLN]</w:t>
            </w:r>
          </w:p>
        </w:tc>
        <w:tc>
          <w:tcPr>
            <w:tcW w:w="1292" w:type="dxa"/>
          </w:tcPr>
          <w:p w14:paraId="54E3476D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2E380AB3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Vat w %</w:t>
            </w:r>
          </w:p>
        </w:tc>
        <w:tc>
          <w:tcPr>
            <w:tcW w:w="1737" w:type="dxa"/>
          </w:tcPr>
          <w:p w14:paraId="36FF304C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brutto[PLN]</w:t>
            </w:r>
          </w:p>
        </w:tc>
        <w:tc>
          <w:tcPr>
            <w:tcW w:w="1388" w:type="dxa"/>
          </w:tcPr>
          <w:p w14:paraId="76ECA11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 [PLN]</w:t>
            </w:r>
          </w:p>
        </w:tc>
        <w:tc>
          <w:tcPr>
            <w:tcW w:w="1711" w:type="dxa"/>
          </w:tcPr>
          <w:p w14:paraId="44604B8B" w14:textId="0B088FE0" w:rsidR="00DD1310" w:rsidRPr="00055689" w:rsidRDefault="00055689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5568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Producent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</w:t>
            </w:r>
            <w:r w:rsidRPr="0005568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Nazwa handlowa </w:t>
            </w:r>
          </w:p>
        </w:tc>
      </w:tr>
      <w:tr w:rsidR="00DD1310" w:rsidRPr="00B96A62" w14:paraId="1564A4CC" w14:textId="3D3EDE0D" w:rsidTr="00055689">
        <w:trPr>
          <w:trHeight w:val="790"/>
        </w:trPr>
        <w:tc>
          <w:tcPr>
            <w:tcW w:w="707" w:type="dxa"/>
          </w:tcPr>
          <w:p w14:paraId="06216349" w14:textId="77777777" w:rsidR="00DD1310" w:rsidRPr="00B96A62" w:rsidRDefault="00DD1310" w:rsidP="006F24F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3329" w:type="dxa"/>
          </w:tcPr>
          <w:p w14:paraId="49EAA556" w14:textId="77777777" w:rsidR="00DD1310" w:rsidRPr="00B96A62" w:rsidRDefault="00DD1310" w:rsidP="006F24F8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Nieizotopowy, magnetyczny znacznik do detekcji węzłów chłonnych wartowniczych</w:t>
            </w:r>
          </w:p>
          <w:p w14:paraId="49D5A876" w14:textId="77777777" w:rsidR="00DD1310" w:rsidRPr="00B96A62" w:rsidRDefault="00DD1310" w:rsidP="006F24F8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/>
                <w:b/>
                <w:sz w:val="16"/>
                <w:szCs w:val="16"/>
                <w:u w:val="single"/>
              </w:rPr>
              <w:t>6 opakowań po 10 szt. fiolek 2 ml.</w:t>
            </w:r>
          </w:p>
        </w:tc>
        <w:tc>
          <w:tcPr>
            <w:tcW w:w="844" w:type="dxa"/>
          </w:tcPr>
          <w:p w14:paraId="24AC9701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op.</w:t>
            </w:r>
          </w:p>
        </w:tc>
        <w:tc>
          <w:tcPr>
            <w:tcW w:w="1015" w:type="dxa"/>
          </w:tcPr>
          <w:p w14:paraId="0C29B691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9" w:type="dxa"/>
          </w:tcPr>
          <w:p w14:paraId="374D8ACE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35" w:type="dxa"/>
          </w:tcPr>
          <w:p w14:paraId="34D2C82B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92" w:type="dxa"/>
          </w:tcPr>
          <w:p w14:paraId="1555F077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</w:tcPr>
          <w:p w14:paraId="1CF6CCB7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</w:tcPr>
          <w:p w14:paraId="431846E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</w:tcPr>
          <w:p w14:paraId="2FD9684C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DD1310" w:rsidRPr="00B96A62" w14:paraId="3A10AAD7" w14:textId="428301B4" w:rsidTr="00055689">
        <w:trPr>
          <w:trHeight w:val="790"/>
        </w:trPr>
        <w:tc>
          <w:tcPr>
            <w:tcW w:w="707" w:type="dxa"/>
          </w:tcPr>
          <w:p w14:paraId="5112E546" w14:textId="77777777" w:rsidR="00DD1310" w:rsidRPr="00B96A62" w:rsidRDefault="00DD1310" w:rsidP="006F24F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329" w:type="dxa"/>
          </w:tcPr>
          <w:p w14:paraId="5CF28CFD" w14:textId="77777777" w:rsidR="00DD1310" w:rsidRPr="00B96A62" w:rsidRDefault="00DD1310" w:rsidP="006F24F8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Znacznik magnetyczny do znakowania zmian niepalpacyjnych</w:t>
            </w:r>
          </w:p>
          <w:p w14:paraId="6017A897" w14:textId="77777777" w:rsidR="00DD1310" w:rsidRPr="00B96A62" w:rsidRDefault="00DD1310" w:rsidP="006F24F8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/>
                <w:b/>
                <w:sz w:val="16"/>
                <w:szCs w:val="16"/>
                <w:u w:val="single"/>
              </w:rPr>
              <w:t>4 opakowania po 10 szt.</w:t>
            </w:r>
          </w:p>
        </w:tc>
        <w:tc>
          <w:tcPr>
            <w:tcW w:w="844" w:type="dxa"/>
          </w:tcPr>
          <w:p w14:paraId="06AB8B2A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op.</w:t>
            </w:r>
          </w:p>
        </w:tc>
        <w:tc>
          <w:tcPr>
            <w:tcW w:w="1015" w:type="dxa"/>
          </w:tcPr>
          <w:p w14:paraId="7E0689B8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79" w:type="dxa"/>
          </w:tcPr>
          <w:p w14:paraId="5BDE5246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35" w:type="dxa"/>
          </w:tcPr>
          <w:p w14:paraId="7B074023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92" w:type="dxa"/>
          </w:tcPr>
          <w:p w14:paraId="60347074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</w:tcPr>
          <w:p w14:paraId="56CB0827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</w:tcPr>
          <w:p w14:paraId="46049D3B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</w:tcPr>
          <w:p w14:paraId="36E524EB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DD1310" w:rsidRPr="00B96A62" w14:paraId="4B0E4284" w14:textId="0FC60CA3" w:rsidTr="00055689">
        <w:trPr>
          <w:trHeight w:val="790"/>
        </w:trPr>
        <w:tc>
          <w:tcPr>
            <w:tcW w:w="707" w:type="dxa"/>
          </w:tcPr>
          <w:p w14:paraId="2C76BBBF" w14:textId="77777777" w:rsidR="00DD1310" w:rsidRPr="00B96A62" w:rsidRDefault="00DD1310" w:rsidP="006F24F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329" w:type="dxa"/>
          </w:tcPr>
          <w:p w14:paraId="620D465B" w14:textId="77777777" w:rsidR="00DD1310" w:rsidRPr="00B96A62" w:rsidRDefault="00DD1310" w:rsidP="00B96A62">
            <w:pPr>
              <w:rPr>
                <w:rFonts w:ascii="Century Gothic" w:hAnsi="Century Gothic"/>
                <w:sz w:val="16"/>
                <w:szCs w:val="16"/>
              </w:rPr>
            </w:pPr>
            <w:r w:rsidRPr="00B96A62">
              <w:rPr>
                <w:rFonts w:ascii="Century Gothic" w:hAnsi="Century Gothic"/>
                <w:sz w:val="16"/>
                <w:szCs w:val="16"/>
              </w:rPr>
              <w:t>Dzierżawa sondy do nieizotopowej detekcji węzłów chłonnych wartowniczych</w:t>
            </w:r>
          </w:p>
          <w:p w14:paraId="32510533" w14:textId="77777777" w:rsidR="00DD1310" w:rsidRPr="00B96A62" w:rsidRDefault="00DD1310" w:rsidP="006F24F8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844" w:type="dxa"/>
          </w:tcPr>
          <w:p w14:paraId="69413DD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1 miesiąc</w:t>
            </w:r>
          </w:p>
        </w:tc>
        <w:tc>
          <w:tcPr>
            <w:tcW w:w="1015" w:type="dxa"/>
          </w:tcPr>
          <w:p w14:paraId="06EDF916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79" w:type="dxa"/>
          </w:tcPr>
          <w:p w14:paraId="72797943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435" w:type="dxa"/>
          </w:tcPr>
          <w:p w14:paraId="392DE8FD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92" w:type="dxa"/>
          </w:tcPr>
          <w:p w14:paraId="3150103F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37" w:type="dxa"/>
          </w:tcPr>
          <w:p w14:paraId="678C0EA9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388" w:type="dxa"/>
          </w:tcPr>
          <w:p w14:paraId="031B5811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</w:tcPr>
          <w:p w14:paraId="3BDF84B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DD1310" w:rsidRPr="00B96A62" w14:paraId="699CA7B9" w14:textId="08F2F623" w:rsidTr="00055689">
        <w:trPr>
          <w:trHeight w:val="183"/>
        </w:trPr>
        <w:tc>
          <w:tcPr>
            <w:tcW w:w="7474" w:type="dxa"/>
            <w:gridSpan w:val="5"/>
          </w:tcPr>
          <w:p w14:paraId="7D1AA096" w14:textId="77777777" w:rsidR="00DD1310" w:rsidRPr="00B96A62" w:rsidRDefault="00DD1310" w:rsidP="002927FC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435" w:type="dxa"/>
          </w:tcPr>
          <w:p w14:paraId="018F9B26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3029" w:type="dxa"/>
            <w:gridSpan w:val="2"/>
          </w:tcPr>
          <w:p w14:paraId="7D3FAFA2" w14:textId="77777777" w:rsidR="00DD1310" w:rsidRPr="00B96A62" w:rsidRDefault="00DD1310" w:rsidP="002927FC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96A62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388" w:type="dxa"/>
          </w:tcPr>
          <w:p w14:paraId="0F41C7DA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11" w:type="dxa"/>
          </w:tcPr>
          <w:p w14:paraId="6BD96325" w14:textId="77777777" w:rsidR="00DD1310" w:rsidRPr="00B96A62" w:rsidRDefault="00DD1310" w:rsidP="006F24F8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39DB4085" w14:textId="77777777" w:rsidR="002927FC" w:rsidRPr="00B96A62" w:rsidRDefault="002927FC" w:rsidP="002927FC">
      <w:pPr>
        <w:spacing w:after="0" w:line="24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</w:p>
    <w:p w14:paraId="2B46FFC4" w14:textId="77777777" w:rsidR="002927FC" w:rsidRPr="00B96A62" w:rsidRDefault="002927FC" w:rsidP="002927FC">
      <w:pPr>
        <w:spacing w:after="0" w:line="24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</w:p>
    <w:p w14:paraId="5DCEC6B0" w14:textId="77777777" w:rsidR="002927FC" w:rsidRPr="00B96A62" w:rsidRDefault="002927FC" w:rsidP="002927FC">
      <w:pPr>
        <w:spacing w:after="0" w:line="24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B96A62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60A92886" w14:textId="77777777" w:rsidR="002927FC" w:rsidRPr="00B96A62" w:rsidRDefault="002927FC" w:rsidP="002927FC">
      <w:pPr>
        <w:spacing w:after="0" w:line="24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1" w:name="_Hlk65832846"/>
      <w:r w:rsidRPr="00B96A62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54848DAC" w14:textId="77777777" w:rsidR="002927FC" w:rsidRPr="00B96A62" w:rsidRDefault="002927FC" w:rsidP="002927FC">
      <w:pPr>
        <w:spacing w:after="0" w:line="24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B96A62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1"/>
    <w:p w14:paraId="7C3BD606" w14:textId="77777777" w:rsidR="002927FC" w:rsidRPr="00B96A62" w:rsidRDefault="002927FC" w:rsidP="002927F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1E8E9C84" w14:textId="77777777" w:rsidR="002927FC" w:rsidRPr="00B96A62" w:rsidRDefault="002927FC" w:rsidP="002927FC">
      <w:pPr>
        <w:spacing w:line="360" w:lineRule="auto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B96A62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B96A62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60174300" w14:textId="77777777" w:rsidR="002927FC" w:rsidRPr="00B96A62" w:rsidRDefault="002927FC" w:rsidP="008A428F">
      <w:pPr>
        <w:rPr>
          <w:rFonts w:ascii="Century Gothic" w:hAnsi="Century Gothic"/>
          <w:sz w:val="16"/>
          <w:szCs w:val="16"/>
        </w:rPr>
      </w:pPr>
    </w:p>
    <w:sectPr w:rsidR="002927FC" w:rsidRPr="00B96A62" w:rsidSect="002927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C34EB" w14:textId="77777777" w:rsidR="00E427DC" w:rsidRDefault="00E427DC" w:rsidP="00AC7C10">
      <w:pPr>
        <w:spacing w:after="0" w:line="240" w:lineRule="auto"/>
      </w:pPr>
      <w:r>
        <w:separator/>
      </w:r>
    </w:p>
  </w:endnote>
  <w:endnote w:type="continuationSeparator" w:id="0">
    <w:p w14:paraId="41AED07B" w14:textId="77777777" w:rsidR="00E427DC" w:rsidRDefault="00E427DC" w:rsidP="00AC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8F001" w14:textId="77777777" w:rsidR="00E427DC" w:rsidRDefault="00E427DC" w:rsidP="00AC7C10">
      <w:pPr>
        <w:spacing w:after="0" w:line="240" w:lineRule="auto"/>
      </w:pPr>
      <w:r>
        <w:separator/>
      </w:r>
    </w:p>
  </w:footnote>
  <w:footnote w:type="continuationSeparator" w:id="0">
    <w:p w14:paraId="6011393D" w14:textId="77777777" w:rsidR="00E427DC" w:rsidRDefault="00E427DC" w:rsidP="00AC7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239"/>
    <w:multiLevelType w:val="hybridMultilevel"/>
    <w:tmpl w:val="D8EC5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A7BEE"/>
    <w:multiLevelType w:val="hybridMultilevel"/>
    <w:tmpl w:val="E9807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34A0B"/>
    <w:multiLevelType w:val="hybridMultilevel"/>
    <w:tmpl w:val="C2A0EF8C"/>
    <w:lvl w:ilvl="0" w:tplc="D3F629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82780"/>
    <w:multiLevelType w:val="hybridMultilevel"/>
    <w:tmpl w:val="5E64A8A2"/>
    <w:lvl w:ilvl="0" w:tplc="D24AF234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1647" w:hanging="180"/>
      </w:pPr>
    </w:lvl>
    <w:lvl w:ilvl="3" w:tplc="0415000F" w:tentative="1">
      <w:start w:val="1"/>
      <w:numFmt w:val="decimal"/>
      <w:lvlText w:val="%4."/>
      <w:lvlJc w:val="left"/>
      <w:pPr>
        <w:ind w:left="2367" w:hanging="360"/>
      </w:pPr>
    </w:lvl>
    <w:lvl w:ilvl="4" w:tplc="04150019" w:tentative="1">
      <w:start w:val="1"/>
      <w:numFmt w:val="lowerLetter"/>
      <w:lvlText w:val="%5."/>
      <w:lvlJc w:val="left"/>
      <w:pPr>
        <w:ind w:left="3087" w:hanging="360"/>
      </w:pPr>
    </w:lvl>
    <w:lvl w:ilvl="5" w:tplc="0415001B" w:tentative="1">
      <w:start w:val="1"/>
      <w:numFmt w:val="lowerRoman"/>
      <w:lvlText w:val="%6."/>
      <w:lvlJc w:val="right"/>
      <w:pPr>
        <w:ind w:left="3807" w:hanging="180"/>
      </w:pPr>
    </w:lvl>
    <w:lvl w:ilvl="6" w:tplc="0415000F" w:tentative="1">
      <w:start w:val="1"/>
      <w:numFmt w:val="decimal"/>
      <w:lvlText w:val="%7."/>
      <w:lvlJc w:val="left"/>
      <w:pPr>
        <w:ind w:left="4527" w:hanging="360"/>
      </w:pPr>
    </w:lvl>
    <w:lvl w:ilvl="7" w:tplc="04150019" w:tentative="1">
      <w:start w:val="1"/>
      <w:numFmt w:val="lowerLetter"/>
      <w:lvlText w:val="%8."/>
      <w:lvlJc w:val="left"/>
      <w:pPr>
        <w:ind w:left="5247" w:hanging="360"/>
      </w:pPr>
    </w:lvl>
    <w:lvl w:ilvl="8" w:tplc="0415001B" w:tentative="1">
      <w:start w:val="1"/>
      <w:numFmt w:val="lowerRoman"/>
      <w:lvlText w:val="%9."/>
      <w:lvlJc w:val="right"/>
      <w:pPr>
        <w:ind w:left="5967" w:hanging="180"/>
      </w:pPr>
    </w:lvl>
  </w:abstractNum>
  <w:num w:numId="1" w16cid:durableId="1649094124">
    <w:abstractNumId w:val="0"/>
  </w:num>
  <w:num w:numId="2" w16cid:durableId="86654878">
    <w:abstractNumId w:val="2"/>
  </w:num>
  <w:num w:numId="3" w16cid:durableId="1662585951">
    <w:abstractNumId w:val="3"/>
  </w:num>
  <w:num w:numId="4" w16cid:durableId="597909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2EB"/>
    <w:rsid w:val="00055689"/>
    <w:rsid w:val="00093DD4"/>
    <w:rsid w:val="0019469E"/>
    <w:rsid w:val="00202FD7"/>
    <w:rsid w:val="002052D6"/>
    <w:rsid w:val="002927FC"/>
    <w:rsid w:val="00321E70"/>
    <w:rsid w:val="004729C2"/>
    <w:rsid w:val="005368B5"/>
    <w:rsid w:val="005804AA"/>
    <w:rsid w:val="005A52EB"/>
    <w:rsid w:val="006864FE"/>
    <w:rsid w:val="007856E7"/>
    <w:rsid w:val="007F0127"/>
    <w:rsid w:val="00822BFB"/>
    <w:rsid w:val="008557AE"/>
    <w:rsid w:val="008A428F"/>
    <w:rsid w:val="008E06A4"/>
    <w:rsid w:val="009027DF"/>
    <w:rsid w:val="00983324"/>
    <w:rsid w:val="009E28A6"/>
    <w:rsid w:val="00AC7C10"/>
    <w:rsid w:val="00B16209"/>
    <w:rsid w:val="00B61D0A"/>
    <w:rsid w:val="00B96A62"/>
    <w:rsid w:val="00BD3B46"/>
    <w:rsid w:val="00C44146"/>
    <w:rsid w:val="00C703B0"/>
    <w:rsid w:val="00D067F7"/>
    <w:rsid w:val="00D4185D"/>
    <w:rsid w:val="00DD1310"/>
    <w:rsid w:val="00DE58AC"/>
    <w:rsid w:val="00E427DC"/>
    <w:rsid w:val="00EE0AAF"/>
    <w:rsid w:val="00F7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37354"/>
  <w15:chartTrackingRefBased/>
  <w15:docId w15:val="{5B7A510F-8121-44D5-BD94-FD2FCEDD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2E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7C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7C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7C10"/>
    <w:rPr>
      <w:vertAlign w:val="superscript"/>
    </w:rPr>
  </w:style>
  <w:style w:type="table" w:styleId="Tabela-Siatka">
    <w:name w:val="Table Grid"/>
    <w:basedOn w:val="Standardowy"/>
    <w:uiPriority w:val="39"/>
    <w:rsid w:val="002927FC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14</cp:revision>
  <dcterms:created xsi:type="dcterms:W3CDTF">2025-07-14T13:39:00Z</dcterms:created>
  <dcterms:modified xsi:type="dcterms:W3CDTF">2025-10-24T11:58:00Z</dcterms:modified>
</cp:coreProperties>
</file>