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72" w:rsidRDefault="00026372" w:rsidP="00026372">
      <w:pPr>
        <w:spacing w:line="240" w:lineRule="auto"/>
        <w:jc w:val="center"/>
        <w:rPr>
          <w:rFonts w:ascii="Arial Narrow" w:hAnsi="Arial Narrow"/>
          <w:b/>
          <w:sz w:val="28"/>
          <w:szCs w:val="24"/>
          <w:u w:val="single"/>
        </w:rPr>
      </w:pPr>
      <w:r>
        <w:rPr>
          <w:rFonts w:ascii="Arial Narrow" w:hAnsi="Arial Narrow"/>
          <w:b/>
          <w:sz w:val="28"/>
          <w:szCs w:val="24"/>
          <w:u w:val="single"/>
        </w:rPr>
        <w:t>Wykaz czynności serwisowych dla zadania 12 i 13</w:t>
      </w:r>
    </w:p>
    <w:p w:rsidR="00D21CED" w:rsidRPr="00D21CED" w:rsidRDefault="00D21CED" w:rsidP="00D21CED">
      <w:r w:rsidRPr="00D21CED">
        <w:rPr>
          <w:b/>
          <w:bCs/>
        </w:rPr>
        <w:t>Elements Surgery – UmowaSerwisowa</w:t>
      </w:r>
      <w:r w:rsidRPr="00D21CED">
        <w:br/>
      </w:r>
      <w:r w:rsidRPr="00D21CED">
        <w:rPr>
          <w:b/>
          <w:bCs/>
        </w:rPr>
        <w:t>UMOWA SERWISOWA – SYSTEM SURGERY</w:t>
      </w:r>
    </w:p>
    <w:p w:rsidR="00D21CED" w:rsidRPr="00D21CED" w:rsidRDefault="00D21CED" w:rsidP="00D21CED">
      <w:r w:rsidRPr="00D21CED">
        <w:rPr>
          <w:b/>
          <w:bCs/>
        </w:rPr>
        <w:t>1 | 81024-40 | PAKIET WSPARCIA TECHNICZNEGO DLA SYSTEMU BUZZ</w:t>
      </w:r>
      <w:r w:rsidRPr="00D21CED">
        <w:br/>
        <w:t>Pakietwsparciatechnicznegodlajednego (1) systemu Buzz, obejmującyponiżejwyszczególnioneusługi. Obowiązująstandardowewarunkiumowy.</w:t>
      </w:r>
    </w:p>
    <w:p w:rsidR="00D21CED" w:rsidRPr="00D21CED" w:rsidRDefault="00AC3C17" w:rsidP="00D21CED">
      <w:r>
        <w:pict>
          <v:rect id="_x0000_i1025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81005-75 | MATERIAŁY NAPRAWCZE DO SYSTEMU BUZZ</w:t>
      </w:r>
      <w:r w:rsidRPr="00D21CED">
        <w:br/>
        <w:t>Wymianauszkodzonychczęści w przypadkuawariisystemu, w tymkosztywysyłkiiobsługiczęścizamiennych.</w:t>
      </w:r>
    </w:p>
    <w:p w:rsidR="00D21CED" w:rsidRPr="00D21CED" w:rsidRDefault="00AC3C17" w:rsidP="00D21CED">
      <w:r>
        <w:pict>
          <v:rect id="_x0000_i1026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89020-17 | INSPEKCJA SYSTEMU I KONTROLA BEZPIECZEŃSTWA</w:t>
      </w:r>
      <w:r w:rsidRPr="00D21CED">
        <w:br/>
        <w:t>Corocznainspekcjaprewencyjnaprowadzonaprzezwykwalifikowanyicertyfikowanypersonelserwisowy Brainlab, zgodnie z protokołamiinspekcjiistandardamijakości Brainlab, obejmująca:</w:t>
      </w:r>
    </w:p>
    <w:p w:rsidR="00D21CED" w:rsidRPr="00D21CED" w:rsidRDefault="00D21CED" w:rsidP="00D21CED">
      <w:pPr>
        <w:numPr>
          <w:ilvl w:val="0"/>
          <w:numId w:val="7"/>
        </w:numPr>
      </w:pPr>
      <w:r w:rsidRPr="00D21CED">
        <w:t>Wizualnąimechanicznąocenęprawidłowegodziałaniawszystkichistotnychkomponentówsprzętowychsystemu</w:t>
      </w:r>
    </w:p>
    <w:p w:rsidR="00D21CED" w:rsidRPr="00D21CED" w:rsidRDefault="00D21CED" w:rsidP="00D21CED">
      <w:pPr>
        <w:numPr>
          <w:ilvl w:val="0"/>
          <w:numId w:val="7"/>
        </w:numPr>
      </w:pPr>
      <w:r w:rsidRPr="00D21CED">
        <w:t>Testy bezpieczeństwaurządzeńmechanicznychielektrycznych</w:t>
      </w:r>
    </w:p>
    <w:p w:rsidR="00D21CED" w:rsidRPr="00D21CED" w:rsidRDefault="00D21CED" w:rsidP="00D21CED">
      <w:pPr>
        <w:numPr>
          <w:ilvl w:val="0"/>
          <w:numId w:val="7"/>
        </w:numPr>
      </w:pPr>
      <w:r w:rsidRPr="00D21CED">
        <w:t>Zebranielogówsystemowychidokumentacjazgłoszonychbłędów</w:t>
      </w:r>
    </w:p>
    <w:p w:rsidR="00D21CED" w:rsidRPr="00D21CED" w:rsidRDefault="00D21CED" w:rsidP="00D21CED">
      <w:pPr>
        <w:numPr>
          <w:ilvl w:val="0"/>
          <w:numId w:val="7"/>
        </w:numPr>
      </w:pPr>
      <w:r w:rsidRPr="00D21CED">
        <w:t>Inspekcjęintegracji z cyfrowymblokiemoperacyjnym (jeślidotyczy)</w:t>
      </w:r>
    </w:p>
    <w:p w:rsidR="00D21CED" w:rsidRPr="00D21CED" w:rsidRDefault="00D21CED" w:rsidP="00D21CED">
      <w:pPr>
        <w:numPr>
          <w:ilvl w:val="0"/>
          <w:numId w:val="7"/>
        </w:numPr>
      </w:pPr>
      <w:r w:rsidRPr="00D21CED">
        <w:t>Tworzenieobrazusystemuoperacyjnegoorazkopiizapasowejistotnychplikówsystemowych</w:t>
      </w:r>
    </w:p>
    <w:p w:rsidR="00D21CED" w:rsidRPr="00D21CED" w:rsidRDefault="00AC3C17" w:rsidP="00D21CED">
      <w:r>
        <w:pict>
          <v:rect id="_x0000_i1027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89020-19 | PRACE SERWISOWE NA MIEJSCU I PODRÓŻ SŁUŻBOWA</w:t>
      </w:r>
      <w:r w:rsidRPr="00D21CED">
        <w:br/>
        <w:t>Wizytaserwisowanamiejscuwykonywanaprzezwykwalifikowanyicertyfikowanypersonel Brainlab Service &amp; Support; obejmujekosztypodróżyipracykonieczne do zapobiegania, diagnozowaniaorazusuwaniapotencjalnychustereksprzętu.</w:t>
      </w:r>
    </w:p>
    <w:p w:rsidR="00D21CED" w:rsidRPr="00D21CED" w:rsidRDefault="00AC3C17" w:rsidP="00D21CED">
      <w:r>
        <w:pict>
          <v:rect id="_x0000_i1028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89020-20 | PRIORYTETOWY DOSTĘP DO ZASOBÓW</w:t>
      </w:r>
      <w:r w:rsidRPr="00D21CED">
        <w:br/>
        <w:t>Priorytetowareakcja ze stronypersonelu Brainlab Service &amp; Support orazpriorytetowydostęp do lokalnychzasobówczęścizamiennych w przypadkunieoczekiwanychawariisystemu, sprzętulubnarzędzi – zapewniającyszybkiczasreakcjiiminimalizującyopóźnienia w harmonogramieoperacyjnym.</w:t>
      </w:r>
    </w:p>
    <w:p w:rsidR="00D21CED" w:rsidRPr="00D21CED" w:rsidRDefault="00AC3C17" w:rsidP="00D21CED">
      <w:r>
        <w:pict>
          <v:rect id="_x0000_i1029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89020-40 | ZDALNE WSPARCIE POPRZEZ BRAINLAB CONNECTED CARE</w:t>
      </w:r>
      <w:r w:rsidRPr="00D21CED">
        <w:br/>
        <w:t>Priorytetowazdalnadiagnostykasystemuorazbieżącezdalnewsparcieirozwiązywanieproblemówzwiązanych z oprogramowaniemisprzętem Brainlab, infrastrukturąroutingu w cyfrowymblokuoperacyjnymorazpołączeniamisieciowymi w szpitalu.</w:t>
      </w:r>
    </w:p>
    <w:p w:rsidR="00D21CED" w:rsidRPr="00D21CED" w:rsidRDefault="00D21CED" w:rsidP="00D21CED">
      <w:r w:rsidRPr="00D21CED">
        <w:lastRenderedPageBreak/>
        <w:t>Godzinyświadczeniausług: od poniedziałku do piątku, w godzinach 8:00–17:00, z wyłączeniemdniustawowowolnych od pracy.</w:t>
      </w:r>
    </w:p>
    <w:p w:rsidR="00D21CED" w:rsidRPr="00D21CED" w:rsidRDefault="00D21CED" w:rsidP="00D21CED">
      <w:r w:rsidRPr="00D21CED">
        <w:rPr>
          <w:b/>
          <w:bCs/>
        </w:rPr>
        <w:t>Uwaga:</w:t>
      </w:r>
      <w:r w:rsidRPr="00D21CED">
        <w:t xml:space="preserve"> W celuświadczeniazdalnegowsparcia, system Brainlab klientamusimiećzainstalowanąiaktywowanąusługę Brainlab Connected Care. W przypadkubrakudostępuzdalnegopoprzez Brainlab Connected Care lubinneodpowiedniepołączeniezaakceptowaneprzez Brainlab, firmazastrzegasobieprawo do naliczeniadodatkowychopłat za wsparcienamiejscu.</w:t>
      </w:r>
    </w:p>
    <w:p w:rsidR="00D21CED" w:rsidRDefault="00D21CED" w:rsidP="00D21CED">
      <w:pPr>
        <w:rPr>
          <w:lang w:val="pl-PL"/>
        </w:rPr>
      </w:pPr>
      <w:r w:rsidRPr="00D21CED">
        <w:rPr>
          <w:b/>
          <w:bCs/>
          <w:lang w:val="pl-PL"/>
        </w:rPr>
        <w:t>89020-41 | CAŁODOBOWA INFOLINIA TECHNICZNA 24/7</w:t>
      </w:r>
      <w:r w:rsidRPr="00D21CED">
        <w:rPr>
          <w:lang w:val="pl-PL"/>
        </w:rPr>
        <w:br/>
        <w:t>Całodobowe, 7 dni w tygodniu wsparcie telefoniczne realizowane przez wykwalifikowany personel techniczny.</w:t>
      </w:r>
    </w:p>
    <w:p w:rsidR="00D21CED" w:rsidRDefault="00D21CED">
      <w:pPr>
        <w:spacing w:after="160" w:line="259" w:lineRule="auto"/>
        <w:rPr>
          <w:lang w:val="pl-PL"/>
        </w:rPr>
      </w:pPr>
      <w:r>
        <w:rPr>
          <w:lang w:val="pl-PL"/>
        </w:rPr>
        <w:br w:type="page"/>
      </w:r>
    </w:p>
    <w:p w:rsidR="00D21CED" w:rsidRPr="00D21CED" w:rsidRDefault="00D21CED" w:rsidP="00D21CED">
      <w:pPr>
        <w:rPr>
          <w:lang w:val="pl-PL"/>
        </w:rPr>
      </w:pPr>
      <w:r w:rsidRPr="00D21CED">
        <w:rPr>
          <w:b/>
          <w:bCs/>
        </w:rPr>
        <w:lastRenderedPageBreak/>
        <w:t>Cirq – UmowaSerwisowa</w:t>
      </w:r>
    </w:p>
    <w:p w:rsidR="00D21CED" w:rsidRPr="00D21CED" w:rsidRDefault="00D21CED" w:rsidP="00D21CED">
      <w:r w:rsidRPr="00D21CED">
        <w:rPr>
          <w:b/>
          <w:bCs/>
        </w:rPr>
        <w:t>UMOWA SERWISOWA – SYSTEM SURGERY</w:t>
      </w:r>
    </w:p>
    <w:p w:rsidR="00D21CED" w:rsidRPr="00D21CED" w:rsidRDefault="00AC3C17" w:rsidP="00D21CED">
      <w:r>
        <w:pict>
          <v:rect id="_x0000_i1030" style="width:0;height:1.5pt" o:hralign="center" o:hrstd="t" o:hr="t" fillcolor="#a0a0a0" stroked="f"/>
        </w:pict>
      </w:r>
    </w:p>
    <w:p w:rsidR="00D21CED" w:rsidRPr="00D21CED" w:rsidRDefault="00D21CED" w:rsidP="00D21CED">
      <w:pPr>
        <w:rPr>
          <w:b/>
          <w:bCs/>
        </w:rPr>
      </w:pPr>
      <w:r w:rsidRPr="00D21CED">
        <w:rPr>
          <w:b/>
          <w:bCs/>
        </w:rPr>
        <w:t>2 | 81024-82 | PAKIET WSPARCIA TECHNICZNEGO – SYSTEM RAMIENIA CIRQ</w:t>
      </w:r>
    </w:p>
    <w:p w:rsidR="00D21CED" w:rsidRPr="00D21CED" w:rsidRDefault="00D21CED" w:rsidP="00D21CED">
      <w:r w:rsidRPr="00D21CED">
        <w:t>Pakietwsparciatechnicznegodlajednego (1) systemuramienia Cirq, obejmującyponiższeusługi. Obowiązująstandardowewarunkiumowy.</w:t>
      </w:r>
    </w:p>
    <w:p w:rsidR="00D21CED" w:rsidRPr="00D21CED" w:rsidRDefault="00AC3C17" w:rsidP="00D21CED">
      <w:r>
        <w:pict>
          <v:rect id="_x0000_i1031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81006-27 | MATERIAŁY NAPRAWCZE DO SYSTEMU RAMIENIA CIRQ</w:t>
      </w:r>
      <w:r w:rsidRPr="00D21CED">
        <w:br/>
        <w:t>Wymianauszkodzonychczęści w przypadkuawariisystemu, w tymkosztywysyłkiiobsługiczęścizamiennych.</w:t>
      </w:r>
    </w:p>
    <w:p w:rsidR="00D21CED" w:rsidRPr="00D21CED" w:rsidRDefault="00AC3C17" w:rsidP="00D21CED">
      <w:r>
        <w:pict>
          <v:rect id="_x0000_i1032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89020-17 | INSPEKCJA SYSTEMU I KONTROLA BEZPIECZEŃSTWA</w:t>
      </w:r>
      <w:r w:rsidRPr="00D21CED">
        <w:br/>
        <w:t>Szczegółowyopisdostępny w pozycji 1 nastronie 5.</w:t>
      </w:r>
    </w:p>
    <w:p w:rsidR="00D21CED" w:rsidRPr="00D21CED" w:rsidRDefault="00AC3C17" w:rsidP="00D21CED">
      <w:r>
        <w:pict>
          <v:rect id="_x0000_i1033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89020-19 | PRACE SERWISOWE NA MIEJSCU I PODRÓŻ SŁUŻBOWA</w:t>
      </w:r>
      <w:r w:rsidRPr="00D21CED">
        <w:br/>
        <w:t>Szczegółowyopisdostępny w pozycji 1 nastronie 5.</w:t>
      </w:r>
    </w:p>
    <w:p w:rsidR="00D21CED" w:rsidRPr="00D21CED" w:rsidRDefault="00AC3C17" w:rsidP="00D21CED">
      <w:r>
        <w:pict>
          <v:rect id="_x0000_i1034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89020-20 | PRIORYTETOWY DOSTĘP DO ZASOBÓW</w:t>
      </w:r>
      <w:r w:rsidRPr="00D21CED">
        <w:br/>
        <w:t>Szczegółowyopisdostępny w pozycji 1 nastronie 5.</w:t>
      </w:r>
    </w:p>
    <w:p w:rsidR="00D21CED" w:rsidRPr="00D21CED" w:rsidRDefault="00AC3C17" w:rsidP="00D21CED">
      <w:r>
        <w:pict>
          <v:rect id="_x0000_i1035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89020-33 | SERWIS CENTRALNY (DEPOT REPAIR) I SYSTEM ZASTĘPCZY NA CZAS NAPRAWY</w:t>
      </w:r>
      <w:r w:rsidRPr="00D21CED">
        <w:br/>
        <w:t>W przypadkuawariisystemuramienia Cirq, urządzeniezostanieodebraneprzez Brainlab w celuwykonanianaprawypozasiedzibąklienta. Usługaobejmuje:</w:t>
      </w:r>
    </w:p>
    <w:p w:rsidR="00D21CED" w:rsidRPr="00D21CED" w:rsidRDefault="00D21CED" w:rsidP="00D21CED">
      <w:pPr>
        <w:numPr>
          <w:ilvl w:val="0"/>
          <w:numId w:val="8"/>
        </w:numPr>
      </w:pPr>
      <w:r w:rsidRPr="00D21CED">
        <w:t>Kosztypracyorazczęściwymaganych do usunięciausterki</w:t>
      </w:r>
    </w:p>
    <w:p w:rsidR="00D21CED" w:rsidRPr="00D21CED" w:rsidRDefault="00D21CED" w:rsidP="00D21CED">
      <w:pPr>
        <w:numPr>
          <w:ilvl w:val="0"/>
          <w:numId w:val="8"/>
        </w:numPr>
      </w:pPr>
      <w:r w:rsidRPr="00D21CED">
        <w:t>Dostarczeniesystemuzastępczegonaczasnaprawy – bez dodatkowychopłat</w:t>
      </w:r>
    </w:p>
    <w:p w:rsidR="00D21CED" w:rsidRPr="00D21CED" w:rsidRDefault="00D21CED" w:rsidP="00D21CED">
      <w:pPr>
        <w:numPr>
          <w:ilvl w:val="0"/>
          <w:numId w:val="8"/>
        </w:numPr>
      </w:pPr>
      <w:r w:rsidRPr="00D21CED">
        <w:t>Logistykę (wysyłkaiopłatycelne) zarównodlasystemuklienta, jak iurządzeniazastępczego</w:t>
      </w:r>
    </w:p>
    <w:p w:rsidR="00D21CED" w:rsidRPr="00D21CED" w:rsidRDefault="00D21CED" w:rsidP="00D21CED">
      <w:r w:rsidRPr="00D21CED">
        <w:rPr>
          <w:b/>
          <w:bCs/>
        </w:rPr>
        <w:t>Uwaga:</w:t>
      </w:r>
      <w:r w:rsidRPr="00D21CED">
        <w:br/>
        <w:t>System zastępczyoraznaprawioneurządzenieklientamogąbyćużywaneklinicznienatychmiastpo dostarczeniu. Uruchomienieiinstalacjaodbywająsię po stronieklienta – wsparciespecjalisty Brainlab możezostaćzamówioneosobno (dodatkowekoszty).</w:t>
      </w:r>
    </w:p>
    <w:p w:rsidR="00D21CED" w:rsidRPr="00D21CED" w:rsidRDefault="00AC3C17" w:rsidP="00D21CED">
      <w:r>
        <w:pict>
          <v:rect id="_x0000_i1036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89020-40 | ZDALNE WSPARCIE POPRZEZ BRAINLAB CONNECTED CARE</w:t>
      </w:r>
      <w:r w:rsidRPr="00D21CED">
        <w:br/>
        <w:t>Szczegółowyopisdostępny w pozycji 1 nastronie 5.</w:t>
      </w:r>
    </w:p>
    <w:p w:rsidR="00D21CED" w:rsidRPr="00D21CED" w:rsidRDefault="00AC3C17" w:rsidP="00D21CED">
      <w:r>
        <w:lastRenderedPageBreak/>
        <w:pict>
          <v:rect id="_x0000_i1037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89020-41 | CAŁODOBOWA INFOLINIA TECHNICZNA 24/7</w:t>
      </w:r>
      <w:r w:rsidRPr="00D21CED">
        <w:br/>
        <w:t>Szczegółowyopisdostępny w pozycji 1 nastronie 6.</w:t>
      </w:r>
    </w:p>
    <w:p w:rsidR="00D21CED" w:rsidRPr="00D21CED" w:rsidRDefault="00AC3C17" w:rsidP="00D21CED">
      <w:r>
        <w:pict>
          <v:rect id="_x0000_i1038" style="width:0;height:1.5pt" o:hralign="center" o:hrstd="t" o:hr="t" fillcolor="#a0a0a0" stroked="f"/>
        </w:pict>
      </w:r>
    </w:p>
    <w:p w:rsidR="00D21CED" w:rsidRPr="00D21CED" w:rsidRDefault="00D21CED" w:rsidP="00D21CED">
      <w:pPr>
        <w:rPr>
          <w:b/>
          <w:bCs/>
        </w:rPr>
      </w:pPr>
      <w:r w:rsidRPr="00D21CED">
        <w:rPr>
          <w:b/>
          <w:bCs/>
        </w:rPr>
        <w:t>3 | 81025-28 | PAKIET WSPARCIA TECHNICZNEGO – MODUŁ ROBOTYCZNEGO USTAWIANIA CIRQ</w:t>
      </w:r>
    </w:p>
    <w:p w:rsidR="00D21CED" w:rsidRPr="00D21CED" w:rsidRDefault="00D21CED" w:rsidP="00D21CED">
      <w:r w:rsidRPr="00D21CED">
        <w:t>Pakietwsparciatechnicznegodlajednego (1) modułurobotycznegoustawiania Cirq, obejmującyponiższeusługi.</w:t>
      </w:r>
    </w:p>
    <w:p w:rsidR="00D21CED" w:rsidRPr="00D21CED" w:rsidRDefault="00D21CED" w:rsidP="00D21CED">
      <w:r w:rsidRPr="00D21CED">
        <w:rPr>
          <w:b/>
          <w:bCs/>
        </w:rPr>
        <w:t>Uwaga:</w:t>
      </w:r>
      <w:r w:rsidRPr="00D21CED">
        <w:br/>
        <w:t>Ta pozycjapodlegaogólnymwarunkom Brainlab dotyczącymudostępnianiaproduktówzastępczych</w:t>
      </w:r>
      <w:r w:rsidRPr="00D21CED">
        <w:br/>
        <w:t>(z wyjątkiemmodułówdostarczanych w AmerycePółnocnej, gdzieobowiązujeponiższyzakres):</w:t>
      </w:r>
    </w:p>
    <w:p w:rsidR="00D21CED" w:rsidRPr="00D21CED" w:rsidRDefault="00AC3C17" w:rsidP="00D21CED">
      <w:r>
        <w:pict>
          <v:rect id="_x0000_i1039" style="width:0;height:1.5pt" o:hralign="center" o:hrstd="t" o:hr="t" fillcolor="#a0a0a0" stroked="f"/>
        </w:pict>
      </w:r>
    </w:p>
    <w:p w:rsidR="00D21CED" w:rsidRPr="00D21CED" w:rsidRDefault="00D21CED" w:rsidP="00D21CED">
      <w:pPr>
        <w:numPr>
          <w:ilvl w:val="0"/>
          <w:numId w:val="9"/>
        </w:numPr>
      </w:pPr>
      <w:r w:rsidRPr="00D21CED">
        <w:t>Brainlab możeudostępnićzastępczymodułrobotyczny Cirq ("System zastępczy") do użytkuprzezklienta w okresienaprawymodułuobjętegoumową</w:t>
      </w:r>
    </w:p>
    <w:p w:rsidR="00D21CED" w:rsidRPr="00D21CED" w:rsidRDefault="00D21CED" w:rsidP="00D21CED">
      <w:pPr>
        <w:numPr>
          <w:ilvl w:val="0"/>
          <w:numId w:val="9"/>
        </w:numPr>
      </w:pPr>
      <w:r w:rsidRPr="00D21CED">
        <w:t>Klientmożekorzystać z systemuzastępczegowyłączniezgodnie z jegoprzeznaczeniem</w:t>
      </w:r>
    </w:p>
    <w:p w:rsidR="00D21CED" w:rsidRPr="00D21CED" w:rsidRDefault="00D21CED" w:rsidP="00D21CED">
      <w:pPr>
        <w:numPr>
          <w:ilvl w:val="0"/>
          <w:numId w:val="9"/>
        </w:numPr>
      </w:pPr>
      <w:r w:rsidRPr="00D21CED">
        <w:t>Dostawasystemuzastępczegonastępuje w uzgodnionymterminie</w:t>
      </w:r>
    </w:p>
    <w:p w:rsidR="00D21CED" w:rsidRPr="00D21CED" w:rsidRDefault="00D21CED" w:rsidP="00D21CED">
      <w:pPr>
        <w:numPr>
          <w:ilvl w:val="0"/>
          <w:numId w:val="9"/>
        </w:numPr>
      </w:pPr>
      <w:r w:rsidRPr="00D21CED">
        <w:t>Klient ma obowiązekniezwłocznegozwrotusystemuzastępczego po naprawieswojegourządzenia, wraz z potwierdzeniemodbioru</w:t>
      </w:r>
    </w:p>
    <w:p w:rsidR="00D21CED" w:rsidRPr="00D21CED" w:rsidRDefault="00D21CED" w:rsidP="00D21CED">
      <w:pPr>
        <w:numPr>
          <w:ilvl w:val="0"/>
          <w:numId w:val="9"/>
        </w:numPr>
      </w:pPr>
      <w:r w:rsidRPr="00D21CED">
        <w:t>Przedodesłaniemsystemuzastępczegoklientmusi go zdezynfekowaćiwysterylizowaćzgodnie z ogólnieprzyjętymistandardami</w:t>
      </w:r>
    </w:p>
    <w:p w:rsidR="00D21CED" w:rsidRPr="00D21CED" w:rsidRDefault="00D21CED" w:rsidP="00D21CED">
      <w:pPr>
        <w:numPr>
          <w:ilvl w:val="0"/>
          <w:numId w:val="9"/>
        </w:numPr>
      </w:pPr>
      <w:r w:rsidRPr="00D21CED">
        <w:t>W przypadkujakiejkolwiekusterkisystemuzastępczegoklientzobowiązany jest niezwłoczniepoinformować Brainlab inatychmiastzaprzestaćjegoużytkowania</w:t>
      </w:r>
    </w:p>
    <w:p w:rsidR="00D21CED" w:rsidRPr="00D21CED" w:rsidRDefault="00D21CED" w:rsidP="00D21CED">
      <w:pPr>
        <w:numPr>
          <w:ilvl w:val="0"/>
          <w:numId w:val="9"/>
        </w:numPr>
      </w:pPr>
      <w:r w:rsidRPr="00D21CED">
        <w:t>Klientponosiodpowiedzialność za uszkodzenia, utratęlubkradzieżsystemuzastępczegowynikające z zaniedbanialubniewłaściwegoużytkowaniaprzezniegolubjegopersonel</w:t>
      </w:r>
    </w:p>
    <w:p w:rsidR="00D21CED" w:rsidRPr="00D21CED" w:rsidRDefault="00AC3C17" w:rsidP="00D21CED">
      <w:r>
        <w:pict>
          <v:rect id="_x0000_i1040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81006-40 | MATERIAŁY NAPRAWCZE DO MODUŁU ROBOTYCZNEGO USTAWIANIA CIRQ</w:t>
      </w:r>
      <w:r w:rsidRPr="00D21CED">
        <w:br/>
        <w:t>Wymianauszkodzonychczęści w przypadkuawariisystemu.</w:t>
      </w:r>
    </w:p>
    <w:p w:rsidR="00D21CED" w:rsidRPr="00D21CED" w:rsidRDefault="00AC3C17" w:rsidP="00D21CED">
      <w:r>
        <w:pict>
          <v:rect id="_x0000_i1041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89020-17 | INSPEKCJA SYSTEMU I KONTROLA BEZPIECZEŃSTWA</w:t>
      </w:r>
      <w:r w:rsidRPr="00D21CED">
        <w:br/>
        <w:t>Szczegółowyopisdostępny w pozycji 1 nastronie 5.</w:t>
      </w:r>
    </w:p>
    <w:p w:rsidR="00D21CED" w:rsidRPr="00D21CED" w:rsidRDefault="00AC3C17" w:rsidP="00D21CED">
      <w:r>
        <w:pict>
          <v:rect id="_x0000_i1042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89020-19 | PRACE SERWISOWE NA MIEJSCU I PODRÓŻ SŁUŻBOWA</w:t>
      </w:r>
      <w:r w:rsidRPr="00D21CED">
        <w:br/>
        <w:t>Szczegółowyopisdostępny w pozycji 1 nastronie 5.</w:t>
      </w:r>
    </w:p>
    <w:p w:rsidR="00D21CED" w:rsidRPr="00D21CED" w:rsidRDefault="00AC3C17" w:rsidP="00D21CED">
      <w:r>
        <w:lastRenderedPageBreak/>
        <w:pict>
          <v:rect id="_x0000_i1043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89020-20 | PRIORYTETOWY DOSTĘP DO ZASOBÓW</w:t>
      </w:r>
      <w:r w:rsidRPr="00D21CED">
        <w:br/>
        <w:t>Szczegółowyopisdostępny w pozycji 1 nastronie 5.</w:t>
      </w:r>
    </w:p>
    <w:p w:rsidR="00D21CED" w:rsidRPr="00D21CED" w:rsidRDefault="00AC3C17" w:rsidP="00D21CED">
      <w:r>
        <w:pict>
          <v:rect id="_x0000_i1044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89020-33 | SERWIS CENTRALNY (DEPOT REPAIR) I SYSTEM ZASTĘPCZY NA CZAS NAPRAWY</w:t>
      </w:r>
      <w:r w:rsidRPr="00D21CED">
        <w:br/>
        <w:t>Szczegółowyopisdostępny w pozycji 2 nastronie 7.</w:t>
      </w:r>
    </w:p>
    <w:p w:rsidR="00D21CED" w:rsidRPr="00D21CED" w:rsidRDefault="00AC3C17" w:rsidP="00D21CED">
      <w:r>
        <w:pict>
          <v:rect id="_x0000_i1045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89020-40 | ZDALNE WSPARCIE POPRZEZ BRAINLAB CONNECTED CARE</w:t>
      </w:r>
      <w:r w:rsidRPr="00D21CED">
        <w:br/>
        <w:t>Szczegółowyopisdostępny w pozycji 1 nastronie 5.</w:t>
      </w:r>
    </w:p>
    <w:p w:rsidR="00D21CED" w:rsidRPr="00D21CED" w:rsidRDefault="00AC3C17" w:rsidP="00D21CED">
      <w:r>
        <w:pict>
          <v:rect id="_x0000_i1046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89020-41 | CAŁODOBOWA INFOLINIA TECHNICZNA 24/7</w:t>
      </w:r>
      <w:r w:rsidRPr="00D21CED">
        <w:br/>
        <w:t>Szczegółowyopisdostępny w pozycji 1 nastronie 6.</w:t>
      </w:r>
    </w:p>
    <w:p w:rsidR="00D21CED" w:rsidRDefault="00D21CED">
      <w:pPr>
        <w:spacing w:after="160" w:line="259" w:lineRule="auto"/>
      </w:pPr>
      <w:r>
        <w:br w:type="page"/>
      </w:r>
    </w:p>
    <w:p w:rsidR="00D21CED" w:rsidRPr="00D21CED" w:rsidRDefault="00D21CED" w:rsidP="00D21CED">
      <w:pPr>
        <w:rPr>
          <w:b/>
          <w:bCs/>
        </w:rPr>
      </w:pPr>
      <w:r w:rsidRPr="00D21CED">
        <w:rPr>
          <w:b/>
          <w:bCs/>
        </w:rPr>
        <w:lastRenderedPageBreak/>
        <w:t>Navigation System – UmowaSerwisowa</w:t>
      </w:r>
    </w:p>
    <w:p w:rsidR="00D21CED" w:rsidRPr="00D21CED" w:rsidRDefault="00D21CED" w:rsidP="00D21CED">
      <w:r w:rsidRPr="00D21CED">
        <w:rPr>
          <w:b/>
          <w:bCs/>
        </w:rPr>
        <w:t>UMOWA SERWISOWA – SYSTEM SURGERY</w:t>
      </w:r>
    </w:p>
    <w:p w:rsidR="00D21CED" w:rsidRPr="00D21CED" w:rsidRDefault="00AC3C17" w:rsidP="00D21CED">
      <w:r>
        <w:pict>
          <v:rect id="_x0000_i1047" style="width:0;height:1.5pt" o:hralign="center" o:hrstd="t" o:hr="t" fillcolor="#a0a0a0" stroked="f"/>
        </w:pict>
      </w:r>
    </w:p>
    <w:p w:rsidR="00D21CED" w:rsidRPr="00D21CED" w:rsidRDefault="00D21CED" w:rsidP="00D21CED">
      <w:pPr>
        <w:rPr>
          <w:b/>
          <w:bCs/>
        </w:rPr>
      </w:pPr>
      <w:r w:rsidRPr="00D21CED">
        <w:rPr>
          <w:b/>
          <w:bCs/>
        </w:rPr>
        <w:t>4 | 81024-03 | PAKIET WSPARCIA TECHNICZNEGO – INTEGRACJA Z MIKROSKOPEM</w:t>
      </w:r>
    </w:p>
    <w:p w:rsidR="00D21CED" w:rsidRPr="00D21CED" w:rsidRDefault="00D21CED" w:rsidP="00D21CED">
      <w:r w:rsidRPr="00D21CED">
        <w:t>Pakietwsparciatechnicznegodlajednej (1) integracji z mikroskopem, obejmującyponiższeusługi. Obowiązująstandardowewarunkiumowy.</w:t>
      </w:r>
    </w:p>
    <w:p w:rsidR="00D21CED" w:rsidRPr="00D21CED" w:rsidRDefault="00AC3C17" w:rsidP="00D21CED">
      <w:r>
        <w:pict>
          <v:rect id="_x0000_i1048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81005-20 | MATERIAŁY NAPRAWCZE DO INTEGRACJI Z MIKROSKOPEM</w:t>
      </w:r>
      <w:r w:rsidRPr="00D21CED">
        <w:br/>
        <w:t>Wymianauszkodzonychczęścizamiennychiakcesoriówpotrzebnych do integracji z mikroskopem w przypadkuawarii, w tymkosztywysyłkiiobsługi.</w:t>
      </w:r>
      <w:r w:rsidRPr="00D21CED">
        <w:br/>
      </w:r>
      <w:r w:rsidRPr="00D21CED">
        <w:rPr>
          <w:b/>
          <w:bCs/>
        </w:rPr>
        <w:t>UWAGA:</w:t>
      </w:r>
      <w:r w:rsidRPr="00D21CED">
        <w:t>Wymianaakcesoriówograniczona jest do maksymalnegowiekupięciulat od datydostawy. Wygięte piny znacznikówniesąobjętegwarancją – uznawanesą za wynikniewłaściwegoużytkowania.</w:t>
      </w:r>
    </w:p>
    <w:p w:rsidR="00D21CED" w:rsidRPr="00D21CED" w:rsidRDefault="00AC3C17" w:rsidP="00D21CED">
      <w:r>
        <w:pict>
          <v:rect id="_x0000_i1049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83014-04 | INSPEKCJA SYSTEMU I KONTROLA BEZPIECZEŃSTWA – INTEGRACJA Z MIKROSKOPEM</w:t>
      </w:r>
      <w:r w:rsidRPr="00D21CED">
        <w:br/>
        <w:t>Prewencyjnainspekcjatechnicznaprzeprowadzanaprzezwykwalifikowanyicertyfikowanypersonelserwisowy Brainlab, zgodnie z protokołamiistandardamijakości Brainlab.</w:t>
      </w:r>
    </w:p>
    <w:p w:rsidR="00D21CED" w:rsidRPr="00D21CED" w:rsidRDefault="00AC3C17" w:rsidP="00D21CED">
      <w:r>
        <w:pict>
          <v:rect id="_x0000_i1050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89020-19 | PRACE SERWISOWE NA MIEJSCU I PODRÓŻ SŁUŻBOWA</w:t>
      </w:r>
      <w:r w:rsidRPr="00D21CED">
        <w:br/>
        <w:t>Szczegółowyopisznajdujesię w pozycji 1 nastronie 5.</w:t>
      </w:r>
    </w:p>
    <w:p w:rsidR="00D21CED" w:rsidRPr="00D21CED" w:rsidRDefault="00AC3C17" w:rsidP="00D21CED">
      <w:r>
        <w:pict>
          <v:rect id="_x0000_i1051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89020-20 | PRIORYTETOWY DOSTĘP DO ZASOBÓW</w:t>
      </w:r>
      <w:r w:rsidRPr="00D21CED">
        <w:br/>
        <w:t>Szczegółowyopisznajdujesię w pozycji 1 nastronie 5.</w:t>
      </w:r>
    </w:p>
    <w:p w:rsidR="00D21CED" w:rsidRPr="00D21CED" w:rsidRDefault="00AC3C17" w:rsidP="00D21CED">
      <w:r>
        <w:pict>
          <v:rect id="_x0000_i1052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89020-40 | ZDALNE WSPARCIE POPRZEZ BRAINLAB CONNECTED CARE</w:t>
      </w:r>
      <w:r w:rsidRPr="00D21CED">
        <w:br/>
        <w:t>Szczegółowyopisznajdujesię w pozycji 1 nastronie 5.</w:t>
      </w:r>
    </w:p>
    <w:p w:rsidR="00D21CED" w:rsidRPr="00D21CED" w:rsidRDefault="00AC3C17" w:rsidP="00D21CED">
      <w:r>
        <w:pict>
          <v:rect id="_x0000_i1053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89020-41 | CAŁODOBOWA INFOLINIA TECHNICZNA 24/7</w:t>
      </w:r>
      <w:r w:rsidRPr="00D21CED">
        <w:br/>
        <w:t>Szczegółowyopisznajdujesię w pozycji 1 nastronie 6.</w:t>
      </w:r>
    </w:p>
    <w:p w:rsidR="00D21CED" w:rsidRPr="00D21CED" w:rsidRDefault="00AC3C17" w:rsidP="00D21CED">
      <w:r>
        <w:pict>
          <v:rect id="_x0000_i1054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89020-58 | KALIBRACJA URZĄDZENIA OBRAZUJĄCEGO INNEGO PRODUCENTA</w:t>
      </w:r>
      <w:r w:rsidRPr="00D21CED">
        <w:br/>
        <w:t>Usługa (ponownej) kalibracjijednego (1) urządzeniaobrazującegoinnegoproducenta, uprzedniozintegrowanego z systememnawigacyjnym Brainlab, np. ramię C, mikroskop, USG, TK, MR itd. Zakresusługzależny od konfiguracjisystemunawigacyjnegoimożeobejmować:</w:t>
      </w:r>
    </w:p>
    <w:p w:rsidR="00D21CED" w:rsidRPr="00D21CED" w:rsidRDefault="00D21CED" w:rsidP="00D21CED">
      <w:pPr>
        <w:numPr>
          <w:ilvl w:val="0"/>
          <w:numId w:val="10"/>
        </w:numPr>
      </w:pPr>
      <w:r w:rsidRPr="00D21CED">
        <w:lastRenderedPageBreak/>
        <w:t>Skan(y) weryfikacyjne (jeślidotyczy) orazrejestracjęfantomudlapotwierdzeniadokładnościobrazu</w:t>
      </w:r>
    </w:p>
    <w:p w:rsidR="00D21CED" w:rsidRPr="00D21CED" w:rsidRDefault="00D21CED" w:rsidP="00D21CED">
      <w:pPr>
        <w:numPr>
          <w:ilvl w:val="0"/>
          <w:numId w:val="10"/>
        </w:numPr>
      </w:pPr>
      <w:r w:rsidRPr="00D21CED">
        <w:t>Weryfikacjędokładnościpozycjiobiektówwyświetlanych w mikroskopie (HUD)</w:t>
      </w:r>
    </w:p>
    <w:p w:rsidR="00D21CED" w:rsidRPr="00D21CED" w:rsidRDefault="00D21CED" w:rsidP="00D21CED">
      <w:pPr>
        <w:numPr>
          <w:ilvl w:val="0"/>
          <w:numId w:val="10"/>
        </w:numPr>
      </w:pPr>
      <w:r w:rsidRPr="00D21CED">
        <w:t>Kalibracjęiskanyweryfikacyjne 3D ramion C przyużyciuadapterów Brainlab Drapelink</w:t>
      </w:r>
    </w:p>
    <w:p w:rsidR="00D21CED" w:rsidRPr="00D21CED" w:rsidRDefault="00D21CED" w:rsidP="00D21CED">
      <w:r w:rsidRPr="00D21CED">
        <w:rPr>
          <w:b/>
          <w:bCs/>
        </w:rPr>
        <w:t>Uwaga:</w:t>
      </w:r>
    </w:p>
    <w:p w:rsidR="00D21CED" w:rsidRPr="00D21CED" w:rsidRDefault="00D21CED" w:rsidP="00D21CED">
      <w:pPr>
        <w:numPr>
          <w:ilvl w:val="0"/>
          <w:numId w:val="11"/>
        </w:numPr>
      </w:pPr>
      <w:r w:rsidRPr="00D21CED">
        <w:t>W niektórychprzypadkachwymaganamożebyćobecnośćpersonelutechnicznegoproducentaurządzeniazewnętrznego – koszty ich pracyipodróżyniesąobjęteniniejsząusługą.</w:t>
      </w:r>
    </w:p>
    <w:p w:rsidR="00D21CED" w:rsidRPr="00D21CED" w:rsidRDefault="00D21CED" w:rsidP="00D21CED">
      <w:pPr>
        <w:numPr>
          <w:ilvl w:val="0"/>
          <w:numId w:val="11"/>
        </w:numPr>
      </w:pPr>
      <w:r w:rsidRPr="00D21CED">
        <w:t>Usługaobejmujetylkoniezbędnekalibracje, uznaneprzez Brainlab za konieczne do zapewnieniaprawidłowejpracysystemu.</w:t>
      </w:r>
    </w:p>
    <w:p w:rsidR="00D21CED" w:rsidRPr="00D21CED" w:rsidRDefault="00D21CED" w:rsidP="00D21CED">
      <w:pPr>
        <w:numPr>
          <w:ilvl w:val="0"/>
          <w:numId w:val="11"/>
        </w:numPr>
      </w:pPr>
      <w:r w:rsidRPr="00D21CED">
        <w:t xml:space="preserve">Rekalibracjespowodowanenieoczekiwanymserwisemurządzeniaprzezjegoproducentalubzleconeprzezużytkownika z powoduzgłoszonychnieprawidłowości – jeśliwcześniejszakalibracjanieutraciławażności – </w:t>
      </w:r>
      <w:r w:rsidRPr="00D21CED">
        <w:rPr>
          <w:b/>
          <w:bCs/>
        </w:rPr>
        <w:t>niesąobjęte</w:t>
      </w:r>
      <w:r w:rsidRPr="00D21CED">
        <w:t>ibędąwycenianeosobno.</w:t>
      </w:r>
    </w:p>
    <w:p w:rsidR="00D21CED" w:rsidRPr="00D21CED" w:rsidRDefault="00D21CED" w:rsidP="00D21CED">
      <w:pPr>
        <w:numPr>
          <w:ilvl w:val="0"/>
          <w:numId w:val="11"/>
        </w:numPr>
      </w:pPr>
      <w:r w:rsidRPr="00D21CED">
        <w:t>Brainlab zastrzegasobieprawo do naliczeniadodatkowychopłat w przypadkukoniecznościwielokrotnychwizyt.</w:t>
      </w:r>
    </w:p>
    <w:p w:rsidR="00D21CED" w:rsidRPr="00D21CED" w:rsidRDefault="00AC3C17" w:rsidP="00D21CED">
      <w:r>
        <w:pict>
          <v:rect id="_x0000_i1055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89020-59 | UTRZYMANIE TRANSFERU DANYCH (DLA JEDNEJ PLATFORMY OBRAZOWEJ LUB ZEWNĘTRZNEJ)</w:t>
      </w:r>
      <w:r w:rsidRPr="00D21CED">
        <w:br/>
        <w:t>Wsparcieserwisowe w zakresietransferudanychikonfiguracjisiecimiędzyjedną (1) platformąobrazowanialubzewnętrzną (np. mikroskop, USG, ramię C, MR, TK/iANGIO, uniwersalneurządzenie 3rd party) a jedną (1) platformą Brainlab.</w:t>
      </w:r>
    </w:p>
    <w:p w:rsidR="00D21CED" w:rsidRPr="00D21CED" w:rsidRDefault="00AC3C17" w:rsidP="00D21CED">
      <w:r>
        <w:pict>
          <v:rect id="_x0000_i1056" style="width:0;height:1.5pt" o:hralign="center" o:hrstd="t" o:hr="t" fillcolor="#a0a0a0" stroked="f"/>
        </w:pict>
      </w:r>
    </w:p>
    <w:p w:rsidR="00D21CED" w:rsidRPr="00D21CED" w:rsidRDefault="00D21CED" w:rsidP="00D21CED">
      <w:pPr>
        <w:rPr>
          <w:b/>
          <w:bCs/>
        </w:rPr>
      </w:pPr>
      <w:r w:rsidRPr="00D21CED">
        <w:rPr>
          <w:b/>
          <w:bCs/>
        </w:rPr>
        <w:t>5 | 81024-58 | PAKIET WSPARCIA TECHNICZNEGO – CURVE NAVIGATION</w:t>
      </w:r>
    </w:p>
    <w:p w:rsidR="00D21CED" w:rsidRPr="00D21CED" w:rsidRDefault="00D21CED" w:rsidP="00D21CED">
      <w:r w:rsidRPr="00D21CED">
        <w:t>Pakietwsparciatechnicznegodlajednego (1) systemu Curve Navigation, obejmującyponiższeusługi. Obowiązująstandardowewarunkiumowy.</w:t>
      </w:r>
    </w:p>
    <w:p w:rsidR="00D21CED" w:rsidRPr="00D21CED" w:rsidRDefault="00AC3C17" w:rsidP="00D21CED">
      <w:r>
        <w:pict>
          <v:rect id="_x0000_i1057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81006-41 | MATERIAŁY NAPRAWCZE DO SYSTEMU CURVE NAVIGATION</w:t>
      </w:r>
      <w:r w:rsidRPr="00D21CED">
        <w:br/>
        <w:t>Wymianauszkodzonychczęści w przypadkuawariisystemu, w tymkosztywysyłkiiobsługiczęścizamiennych.</w:t>
      </w:r>
    </w:p>
    <w:p w:rsidR="00D21CED" w:rsidRPr="00D21CED" w:rsidRDefault="00D21CED" w:rsidP="00D21CED">
      <w:r w:rsidRPr="00D21CED">
        <w:rPr>
          <w:b/>
          <w:bCs/>
        </w:rPr>
        <w:t>Pozostałepozycje (89020-17, -19, -20, -40, -41):</w:t>
      </w:r>
      <w:r w:rsidRPr="00D21CED">
        <w:br/>
        <w:t>Szczegółoweopisyznajdująsię w pozycji 1 nastronach 5 i 6.</w:t>
      </w:r>
    </w:p>
    <w:p w:rsidR="00D21CED" w:rsidRPr="00D21CED" w:rsidRDefault="00AC3C17" w:rsidP="00D21CED">
      <w:r>
        <w:pict>
          <v:rect id="_x0000_i1058" style="width:0;height:1.5pt" o:hralign="center" o:hrstd="t" o:hr="t" fillcolor="#a0a0a0" stroked="f"/>
        </w:pict>
      </w:r>
    </w:p>
    <w:p w:rsidR="00D21CED" w:rsidRPr="00D21CED" w:rsidRDefault="00D21CED" w:rsidP="00D21CED">
      <w:pPr>
        <w:rPr>
          <w:b/>
          <w:bCs/>
        </w:rPr>
      </w:pPr>
      <w:r w:rsidRPr="00D21CED">
        <w:rPr>
          <w:b/>
          <w:bCs/>
        </w:rPr>
        <w:t>6 | 81025-14 | PAKIET WSPARCIA TECHNICZNEGO – ROZSZERZENIE DLA INSTRUMENTÓW CZASZKOWYCH</w:t>
      </w:r>
    </w:p>
    <w:p w:rsidR="00D21CED" w:rsidRPr="00D21CED" w:rsidRDefault="00D21CED" w:rsidP="00D21CED">
      <w:r w:rsidRPr="00D21CED">
        <w:lastRenderedPageBreak/>
        <w:t>Pakietwsparciatechnicznegodlajednego (1) zestawunarzędziczaszkowych, obejmującyponiższeusługi. Obowiązująstandardowewarunkiumowy.</w:t>
      </w:r>
    </w:p>
    <w:p w:rsidR="00D21CED" w:rsidRPr="00D21CED" w:rsidRDefault="00AC3C17" w:rsidP="00D21CED">
      <w:r>
        <w:pict>
          <v:rect id="_x0000_i1059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81016-05 | WYMIANA AKCESORIÓW CZASZKOWYCH</w:t>
      </w:r>
      <w:r w:rsidRPr="00D21CED">
        <w:br/>
        <w:t>Wymianauszkodzonychczęści (maksymalnywiek – 5 lat od datydostawy) w przypadkuawarii, w tymkosztywysyłkiiobsługi.</w:t>
      </w:r>
      <w:r w:rsidRPr="00D21CED">
        <w:br/>
        <w:t>Zakresakcesoriówobjętychusługą:</w:t>
      </w:r>
    </w:p>
    <w:p w:rsidR="00D21CED" w:rsidRPr="00D21CED" w:rsidRDefault="00D21CED" w:rsidP="00D21CED">
      <w:pPr>
        <w:numPr>
          <w:ilvl w:val="0"/>
          <w:numId w:val="12"/>
        </w:numPr>
      </w:pPr>
      <w:r w:rsidRPr="00D21CED">
        <w:t>Wskaźnikrejestracyjny SOFTOUCH (z miernikiem)</w:t>
      </w:r>
    </w:p>
    <w:p w:rsidR="00D21CED" w:rsidRPr="00D21CED" w:rsidRDefault="00D21CED" w:rsidP="00D21CED">
      <w:pPr>
        <w:numPr>
          <w:ilvl w:val="0"/>
          <w:numId w:val="12"/>
        </w:numPr>
      </w:pPr>
      <w:r w:rsidRPr="00D21CED">
        <w:t>Wskaźniklaserowy Z-TOUCH</w:t>
      </w:r>
    </w:p>
    <w:p w:rsidR="00D21CED" w:rsidRPr="00D21CED" w:rsidRDefault="00D21CED" w:rsidP="00D21CED">
      <w:pPr>
        <w:numPr>
          <w:ilvl w:val="0"/>
          <w:numId w:val="12"/>
        </w:numPr>
      </w:pPr>
      <w:r w:rsidRPr="00D21CED">
        <w:t>Czaszkowamatrycareferencyjna (Patient Reference Array Cranial)</w:t>
      </w:r>
    </w:p>
    <w:p w:rsidR="00D21CED" w:rsidRPr="00D21CED" w:rsidRDefault="00D21CED" w:rsidP="00D21CED">
      <w:pPr>
        <w:numPr>
          <w:ilvl w:val="0"/>
          <w:numId w:val="12"/>
        </w:numPr>
      </w:pPr>
      <w:r w:rsidRPr="00D21CED">
        <w:t>Ramięmocującematrycęreferencyjną</w:t>
      </w:r>
    </w:p>
    <w:p w:rsidR="00D21CED" w:rsidRPr="00D21CED" w:rsidRDefault="00D21CED" w:rsidP="00D21CED">
      <w:pPr>
        <w:numPr>
          <w:ilvl w:val="0"/>
          <w:numId w:val="12"/>
        </w:numPr>
      </w:pPr>
      <w:r w:rsidRPr="00D21CED">
        <w:t>Czaszkowabazareferencyjna</w:t>
      </w:r>
    </w:p>
    <w:p w:rsidR="00D21CED" w:rsidRPr="00D21CED" w:rsidRDefault="00D21CED" w:rsidP="00D21CED">
      <w:pPr>
        <w:numPr>
          <w:ilvl w:val="0"/>
          <w:numId w:val="12"/>
        </w:numPr>
      </w:pPr>
      <w:r w:rsidRPr="00D21CED">
        <w:t>Uchwyt do adapterównarzędzi (rozmiar S, M, L, XL – SoftGrip)</w:t>
      </w:r>
    </w:p>
    <w:p w:rsidR="00D21CED" w:rsidRPr="00D21CED" w:rsidRDefault="00D21CED" w:rsidP="00D21CED">
      <w:r w:rsidRPr="00D21CED">
        <w:rPr>
          <w:b/>
          <w:bCs/>
        </w:rPr>
        <w:t>Uwaga:</w:t>
      </w:r>
      <w:r w:rsidRPr="00D21CED">
        <w:t>Wygięte piny znacznikówniesąobjętegwarancją.</w:t>
      </w:r>
    </w:p>
    <w:p w:rsidR="00D21CED" w:rsidRPr="00D21CED" w:rsidRDefault="00AC3C17" w:rsidP="00D21CED">
      <w:r>
        <w:pict>
          <v:rect id="_x0000_i1060" style="width:0;height:1.5pt" o:hralign="center" o:hrstd="t" o:hr="t" fillcolor="#a0a0a0" stroked="f"/>
        </w:pict>
      </w:r>
    </w:p>
    <w:p w:rsidR="00D21CED" w:rsidRPr="00D21CED" w:rsidRDefault="00D21CED" w:rsidP="00D21CED">
      <w:pPr>
        <w:rPr>
          <w:b/>
          <w:bCs/>
        </w:rPr>
      </w:pPr>
      <w:r w:rsidRPr="00D21CED">
        <w:rPr>
          <w:b/>
          <w:bCs/>
        </w:rPr>
        <w:t>7 | 81025-15 | PAKIET WSPARCIA TECHNICZNEGO – ROZSZERZENIE DLA INSTRUMENTÓW KRĘGOSŁUPOWYCH</w:t>
      </w:r>
    </w:p>
    <w:p w:rsidR="00D21CED" w:rsidRPr="00D21CED" w:rsidRDefault="00D21CED" w:rsidP="00D21CED">
      <w:r w:rsidRPr="00D21CED">
        <w:t>Pakietwsparciatechnicznegodlajednego (1) zestawunarzędzi do chirurgiikręgosłupa, obejmującyponiższeusługi. Obowiązująstandardowewarunkiumowy.</w:t>
      </w:r>
    </w:p>
    <w:p w:rsidR="00D21CED" w:rsidRPr="00D21CED" w:rsidRDefault="00AC3C17" w:rsidP="00D21CED">
      <w:r>
        <w:pict>
          <v:rect id="_x0000_i1061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81016-06 | WYMIANA AKCESORIÓW DO OPERACJI KRĘGOSŁUPA</w:t>
      </w:r>
      <w:r w:rsidRPr="00D21CED">
        <w:br/>
        <w:t>Wymianauszkodzonychczęści (maks. 5 lat od dostawy) w przypadkuawarii, w tymkosztywysyłkiiobsługi.</w:t>
      </w:r>
      <w:r w:rsidRPr="00D21CED">
        <w:br/>
        <w:t>Zakresakcesoriówobjętychusługą:</w:t>
      </w:r>
    </w:p>
    <w:p w:rsidR="00D21CED" w:rsidRPr="00D21CED" w:rsidRDefault="00D21CED" w:rsidP="00D21CED">
      <w:pPr>
        <w:numPr>
          <w:ilvl w:val="0"/>
          <w:numId w:val="13"/>
        </w:numPr>
      </w:pPr>
      <w:r w:rsidRPr="00D21CED">
        <w:t>Zaciskreferencyjnykręgosłupa z suwakiem (carbon)</w:t>
      </w:r>
    </w:p>
    <w:p w:rsidR="00D21CED" w:rsidRPr="00D21CED" w:rsidRDefault="00D21CED" w:rsidP="00D21CED">
      <w:pPr>
        <w:numPr>
          <w:ilvl w:val="0"/>
          <w:numId w:val="13"/>
        </w:numPr>
      </w:pPr>
      <w:r w:rsidRPr="00D21CED">
        <w:t>Długi adapter referencyjny (40 mm)</w:t>
      </w:r>
    </w:p>
    <w:p w:rsidR="00D21CED" w:rsidRPr="00D21CED" w:rsidRDefault="00D21CED" w:rsidP="00D21CED">
      <w:pPr>
        <w:numPr>
          <w:ilvl w:val="0"/>
          <w:numId w:val="13"/>
        </w:numPr>
      </w:pPr>
      <w:r w:rsidRPr="00D21CED">
        <w:t>Matrycereferencyjne (geometria 4-sferowa)</w:t>
      </w:r>
    </w:p>
    <w:p w:rsidR="00D21CED" w:rsidRPr="00D21CED" w:rsidRDefault="00D21CED" w:rsidP="00D21CED">
      <w:pPr>
        <w:numPr>
          <w:ilvl w:val="0"/>
          <w:numId w:val="13"/>
        </w:numPr>
      </w:pPr>
      <w:r w:rsidRPr="00D21CED">
        <w:t>Szybkozłączkamatrycyreferencyjnej X-PRESS</w:t>
      </w:r>
    </w:p>
    <w:p w:rsidR="00D21CED" w:rsidRPr="00D21CED" w:rsidRDefault="00D21CED" w:rsidP="00D21CED">
      <w:pPr>
        <w:numPr>
          <w:ilvl w:val="0"/>
          <w:numId w:val="13"/>
        </w:numPr>
      </w:pPr>
      <w:r w:rsidRPr="00D21CED">
        <w:t>Fiksatorkostny 2-pinowy, flip-flop, X-PRESS</w:t>
      </w:r>
    </w:p>
    <w:p w:rsidR="00D21CED" w:rsidRPr="00D21CED" w:rsidRDefault="00D21CED" w:rsidP="00D21CED">
      <w:pPr>
        <w:numPr>
          <w:ilvl w:val="0"/>
          <w:numId w:val="13"/>
        </w:numPr>
      </w:pPr>
      <w:r w:rsidRPr="00D21CED">
        <w:t>Uchwytprowadnikawiertła z 3 znacznikami</w:t>
      </w:r>
    </w:p>
    <w:p w:rsidR="00D21CED" w:rsidRPr="00D21CED" w:rsidRDefault="00D21CED" w:rsidP="00D21CED">
      <w:pPr>
        <w:numPr>
          <w:ilvl w:val="0"/>
          <w:numId w:val="13"/>
        </w:numPr>
      </w:pPr>
      <w:r w:rsidRPr="00D21CED">
        <w:t>Jednostkireferencyjne do manualnejkalibracji (rozmiary ML, L, 3 lub 4 sfery)</w:t>
      </w:r>
    </w:p>
    <w:p w:rsidR="00D21CED" w:rsidRPr="00D21CED" w:rsidRDefault="00D21CED" w:rsidP="00D21CED">
      <w:pPr>
        <w:numPr>
          <w:ilvl w:val="0"/>
          <w:numId w:val="13"/>
        </w:numPr>
      </w:pPr>
      <w:r w:rsidRPr="00D21CED">
        <w:t>Uchwyt do adapterównarzędzi (rozmiar S, M, L, XL – SoftGrip)</w:t>
      </w:r>
    </w:p>
    <w:p w:rsidR="00D21CED" w:rsidRPr="00D21CED" w:rsidRDefault="00D21CED" w:rsidP="00D21CED">
      <w:r w:rsidRPr="00D21CED">
        <w:rPr>
          <w:b/>
          <w:bCs/>
        </w:rPr>
        <w:lastRenderedPageBreak/>
        <w:t>Uwaga:</w:t>
      </w:r>
      <w:r w:rsidRPr="00D21CED">
        <w:t>Wygięte piny znacznikówniesąobjętegwarancją.</w:t>
      </w:r>
    </w:p>
    <w:p w:rsidR="00D21CED" w:rsidRPr="00D21CED" w:rsidRDefault="00AC3C17" w:rsidP="00D21CED">
      <w:r>
        <w:pict>
          <v:rect id="_x0000_i1062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89020-20 | PRIORYTETOWY DOSTĘP DO ZASOBÓW</w:t>
      </w:r>
      <w:r w:rsidRPr="00D21CED">
        <w:br/>
        <w:t>Opisznajdujesię w pozycji 1 nastronie 5.</w:t>
      </w:r>
    </w:p>
    <w:p w:rsidR="00D21CED" w:rsidRDefault="00D21CED">
      <w:pPr>
        <w:spacing w:after="160" w:line="259" w:lineRule="auto"/>
      </w:pPr>
      <w:r>
        <w:br w:type="page"/>
      </w:r>
    </w:p>
    <w:p w:rsidR="00D21CED" w:rsidRPr="00D21CED" w:rsidRDefault="00D21CED" w:rsidP="00D21CED">
      <w:pPr>
        <w:rPr>
          <w:b/>
          <w:bCs/>
        </w:rPr>
      </w:pPr>
      <w:r w:rsidRPr="00D21CED">
        <w:rPr>
          <w:b/>
          <w:bCs/>
        </w:rPr>
        <w:lastRenderedPageBreak/>
        <w:t>System Nawigacji – UmowaSerwisowa</w:t>
      </w:r>
    </w:p>
    <w:p w:rsidR="00D21CED" w:rsidRPr="00D21CED" w:rsidRDefault="00D21CED" w:rsidP="00D21CED">
      <w:r w:rsidRPr="00D21CED">
        <w:rPr>
          <w:b/>
          <w:bCs/>
        </w:rPr>
        <w:t>UMOWA SERWISOWA – CHIRURGIA</w:t>
      </w:r>
    </w:p>
    <w:p w:rsidR="00D21CED" w:rsidRPr="00D21CED" w:rsidRDefault="00AC3C17" w:rsidP="00D21CED">
      <w:r>
        <w:pict>
          <v:rect id="_x0000_i1063" style="width:0;height:1.5pt" o:hralign="center" o:hrstd="t" o:hr="t" fillcolor="#a0a0a0" stroked="f"/>
        </w:pict>
      </w:r>
    </w:p>
    <w:p w:rsidR="00D21CED" w:rsidRPr="00D21CED" w:rsidRDefault="00D21CED" w:rsidP="00D21CED">
      <w:pPr>
        <w:rPr>
          <w:b/>
          <w:bCs/>
        </w:rPr>
      </w:pPr>
      <w:r w:rsidRPr="00D21CED">
        <w:rPr>
          <w:b/>
          <w:bCs/>
        </w:rPr>
        <w:t>8 | 81024-55 | PAKIET WSPARCIA TECHNICZNEGO – CURVE DUAL DISPLAY</w:t>
      </w:r>
    </w:p>
    <w:p w:rsidR="00D21CED" w:rsidRPr="00D21CED" w:rsidRDefault="00D21CED" w:rsidP="00D21CED">
      <w:r w:rsidRPr="00D21CED">
        <w:t>Pakietwsparciatechnicznegodlajednego (1) systemu Curve Dual Display, obejmującyponiższeusługi. Obowiązująstandardowewarunkiumowy.</w:t>
      </w:r>
    </w:p>
    <w:p w:rsidR="00D21CED" w:rsidRPr="00D21CED" w:rsidRDefault="00AC3C17" w:rsidP="00D21CED">
      <w:r>
        <w:pict>
          <v:rect id="_x0000_i1064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81006-33 | MATERIAŁY NAPRAWCZE – CURVE DUAL DISPLAY</w:t>
      </w:r>
      <w:r w:rsidRPr="00D21CED">
        <w:br/>
        <w:t>Wymianauszkodzonychczęści w przypadkuawariisystemu, w tymkosztywysyłkiiobsługiczęścizamiennych.</w:t>
      </w:r>
    </w:p>
    <w:p w:rsidR="00D21CED" w:rsidRPr="00D21CED" w:rsidRDefault="00AC3C17" w:rsidP="00D21CED">
      <w:r>
        <w:pict>
          <v:rect id="_x0000_i1065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89020-17 | INSPEKCJA SYSTEMU I KONTROLA BEZPIECZEŃSTWA</w:t>
      </w:r>
      <w:r w:rsidRPr="00D21CED">
        <w:br/>
        <w:t>Szczegółowyopisdostępny w pozycji 1 nastronie 5.</w:t>
      </w:r>
    </w:p>
    <w:p w:rsidR="00D21CED" w:rsidRPr="00D21CED" w:rsidRDefault="00AC3C17" w:rsidP="00D21CED">
      <w:r>
        <w:pict>
          <v:rect id="_x0000_i1066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89020-19 | PRACE SERWISOWE NA MIEJSCU I PODRÓŻ SŁUŻBOWA</w:t>
      </w:r>
      <w:r w:rsidRPr="00D21CED">
        <w:br/>
        <w:t>Szczegółowyopisdostępny w pozycji 1 nastronie 5.</w:t>
      </w:r>
    </w:p>
    <w:p w:rsidR="00D21CED" w:rsidRPr="00D21CED" w:rsidRDefault="00AC3C17" w:rsidP="00D21CED">
      <w:r>
        <w:pict>
          <v:rect id="_x0000_i1067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89020-20 | PRIORYTETOWY DOSTĘP DO ZASOBÓW</w:t>
      </w:r>
      <w:r w:rsidRPr="00D21CED">
        <w:br/>
        <w:t>Szczegółowyopisdostępny w pozycji 1 nastronie 5.</w:t>
      </w:r>
    </w:p>
    <w:p w:rsidR="00D21CED" w:rsidRPr="00D21CED" w:rsidRDefault="00AC3C17" w:rsidP="00D21CED">
      <w:r>
        <w:pict>
          <v:rect id="_x0000_i1068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89020-40 | ZDALNE WSPARCIE POPRZEZ BRAINLAB CONNECTED CARE</w:t>
      </w:r>
      <w:r w:rsidRPr="00D21CED">
        <w:br/>
        <w:t>Szczegółowyopisdostępny w pozycji 1 nastronie 5.</w:t>
      </w:r>
    </w:p>
    <w:p w:rsidR="00D21CED" w:rsidRPr="00D21CED" w:rsidRDefault="00AC3C17" w:rsidP="00D21CED">
      <w:r>
        <w:pict>
          <v:rect id="_x0000_i1069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89020-41 | CAŁODOBOWA INFOLINIA TECHNICZNA 24/7</w:t>
      </w:r>
      <w:r w:rsidRPr="00D21CED">
        <w:br/>
        <w:t>Szczegółowyopisdostępny w pozycji 1 nastronie 6.</w:t>
      </w:r>
    </w:p>
    <w:p w:rsidR="00D21CED" w:rsidRPr="00D21CED" w:rsidRDefault="00AC3C17" w:rsidP="00D21CED">
      <w:r>
        <w:pict>
          <v:rect id="_x0000_i1070" style="width:0;height:1.5pt" o:hralign="center" o:hrstd="t" o:hr="t" fillcolor="#a0a0a0" stroked="f"/>
        </w:pict>
      </w:r>
    </w:p>
    <w:p w:rsidR="00D21CED" w:rsidRPr="00D21CED" w:rsidRDefault="00D21CED" w:rsidP="00D21CED">
      <w:pPr>
        <w:rPr>
          <w:b/>
          <w:bCs/>
        </w:rPr>
      </w:pPr>
      <w:r w:rsidRPr="00D21CED">
        <w:rPr>
          <w:b/>
          <w:bCs/>
        </w:rPr>
        <w:t>9 | 81025-14 | ROZSZERZENIE PAKIETU WSPARCIA TECHNICZNEGO – NARZĘDZIA KRANIALNE</w:t>
      </w:r>
    </w:p>
    <w:p w:rsidR="00D21CED" w:rsidRPr="00D21CED" w:rsidRDefault="00D21CED" w:rsidP="00D21CED">
      <w:r w:rsidRPr="00D21CED">
        <w:t>Szczegółowyopisdostępny w pozycji 6 nastronie 11.</w:t>
      </w:r>
    </w:p>
    <w:p w:rsidR="00D21CED" w:rsidRPr="00D21CED" w:rsidRDefault="00AC3C17" w:rsidP="00D21CED">
      <w:r>
        <w:pict>
          <v:rect id="_x0000_i1071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81016-05 | WYMIANA AKCESORIÓW DO ZESTAWU KRANIALNEGO</w:t>
      </w:r>
      <w:r w:rsidRPr="00D21CED">
        <w:br/>
        <w:t>Szczegółowyopisdostępny w pozycji 6 nastronie 11.</w:t>
      </w:r>
    </w:p>
    <w:p w:rsidR="00D21CED" w:rsidRPr="00D21CED" w:rsidRDefault="00AC3C17" w:rsidP="00D21CED">
      <w:r>
        <w:pict>
          <v:rect id="_x0000_i1072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lastRenderedPageBreak/>
        <w:t>89020-20 | PRIORYTETOWY DOSTĘP DO ZASOBÓW</w:t>
      </w:r>
      <w:r w:rsidRPr="00D21CED">
        <w:br/>
        <w:t>Szczegółowyopisdostępny w pozycji 1 nastronie 5.</w:t>
      </w:r>
    </w:p>
    <w:p w:rsidR="00D21CED" w:rsidRPr="00D21CED" w:rsidRDefault="00AC3C17" w:rsidP="00D21CED">
      <w:r>
        <w:pict>
          <v:rect id="_x0000_i1073" style="width:0;height:1.5pt" o:hralign="center" o:hrstd="t" o:hr="t" fillcolor="#a0a0a0" stroked="f"/>
        </w:pict>
      </w:r>
    </w:p>
    <w:p w:rsidR="00D21CED" w:rsidRPr="00D21CED" w:rsidRDefault="00D21CED" w:rsidP="00D21CED">
      <w:r w:rsidRPr="00D21CED">
        <w:rPr>
          <w:b/>
          <w:bCs/>
        </w:rPr>
        <w:t>89020-41 | CAŁODOBOWA INFOLINIA TECHNICZNA 24/7</w:t>
      </w:r>
      <w:r w:rsidRPr="00D21CED">
        <w:br/>
        <w:t>Szczegółowyopisdostępny w pozycji 1 nastronie 6.</w:t>
      </w:r>
    </w:p>
    <w:p w:rsidR="00D21CED" w:rsidRPr="00D21CED" w:rsidRDefault="0088420A" w:rsidP="00AA3683">
      <w:r>
        <w:t>Ervice</w:t>
      </w:r>
    </w:p>
    <w:sectPr w:rsidR="00D21CED" w:rsidRPr="00D21CED" w:rsidSect="002A7811">
      <w:footerReference w:type="default" r:id="rId7"/>
      <w:headerReference w:type="first" r:id="rId8"/>
      <w:pgSz w:w="11906" w:h="16838" w:code="9"/>
      <w:pgMar w:top="1985" w:right="1304" w:bottom="1418" w:left="1474" w:header="624" w:footer="34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FCD" w:rsidRDefault="00266FCD" w:rsidP="00993ADC">
      <w:pPr>
        <w:spacing w:after="0"/>
      </w:pPr>
      <w:r>
        <w:separator/>
      </w:r>
    </w:p>
  </w:endnote>
  <w:endnote w:type="continuationSeparator" w:id="1">
    <w:p w:rsidR="00266FCD" w:rsidRDefault="00266FCD" w:rsidP="00993AD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ainlab Now">
    <w:altName w:val="Rubik"/>
    <w:charset w:val="00"/>
    <w:family w:val="swiss"/>
    <w:pitch w:val="variable"/>
    <w:sig w:usb0="00000001" w:usb1="00008471" w:usb2="00000000" w:usb3="00000000" w:csb0="00000093" w:csb1="00000000"/>
  </w:font>
  <w:font w:name="Brainlab Now Medium">
    <w:altName w:val="Rubik"/>
    <w:charset w:val="00"/>
    <w:family w:val="swiss"/>
    <w:pitch w:val="variable"/>
    <w:sig w:usb0="00000001" w:usb1="00008471" w:usb2="00000000" w:usb3="00000000" w:csb0="00000093" w:csb1="00000000"/>
  </w:font>
  <w:font w:name="Brainlab Now Black">
    <w:altName w:val="Arial Black"/>
    <w:charset w:val="00"/>
    <w:family w:val="swiss"/>
    <w:pitch w:val="variable"/>
    <w:sig w:usb0="00000001" w:usb1="00008471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D15" w:rsidRDefault="000E4D15" w:rsidP="00902C45">
    <w:pPr>
      <w:pStyle w:val="Stopka"/>
      <w:ind w:right="7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FCD" w:rsidRDefault="00266FCD" w:rsidP="00993ADC">
      <w:pPr>
        <w:spacing w:after="0"/>
      </w:pPr>
      <w:r>
        <w:separator/>
      </w:r>
    </w:p>
  </w:footnote>
  <w:footnote w:type="continuationSeparator" w:id="1">
    <w:p w:rsidR="00266FCD" w:rsidRDefault="00266FCD" w:rsidP="00993ADC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DA4" w:rsidRDefault="005D3DA4">
    <w:pPr>
      <w:pStyle w:val="Nagwek"/>
    </w:pPr>
    <w:r w:rsidRPr="005D3DA4">
      <w:t xml:space="preserve">SPRAWA 130/2025                                                                                                                                             ZAŁĄCZNIK NR </w:t>
    </w:r>
    <w:r>
      <w:t>9a</w:t>
    </w:r>
    <w:r w:rsidRPr="005D3DA4"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F2AC6"/>
    <w:multiLevelType w:val="multilevel"/>
    <w:tmpl w:val="472CD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3F5B53"/>
    <w:multiLevelType w:val="multilevel"/>
    <w:tmpl w:val="B3D44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AA4802"/>
    <w:multiLevelType w:val="multilevel"/>
    <w:tmpl w:val="6C789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AF3DB9"/>
    <w:multiLevelType w:val="multilevel"/>
    <w:tmpl w:val="3B90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2A2DB8"/>
    <w:multiLevelType w:val="multilevel"/>
    <w:tmpl w:val="FF7ABA74"/>
    <w:lvl w:ilvl="0">
      <w:start w:val="1"/>
      <w:numFmt w:val="bullet"/>
      <w:pStyle w:val="Akapitzlist"/>
      <w:lvlText w:val=""/>
      <w:lvlJc w:val="left"/>
      <w:pPr>
        <w:ind w:left="227" w:hanging="227"/>
      </w:pPr>
      <w:rPr>
        <w:rFonts w:ascii="Wingdings 2" w:hAnsi="Wingdings 2" w:hint="default"/>
        <w:color w:val="EE2375" w:themeColor="text2"/>
        <w:sz w:val="20"/>
        <w:szCs w:val="16"/>
      </w:rPr>
    </w:lvl>
    <w:lvl w:ilvl="1">
      <w:start w:val="1"/>
      <w:numFmt w:val="bullet"/>
      <w:lvlText w:val=""/>
      <w:lvlJc w:val="left"/>
      <w:pPr>
        <w:ind w:left="454" w:hanging="227"/>
      </w:pPr>
      <w:rPr>
        <w:rFonts w:ascii="Wingdings" w:hAnsi="Wingdings" w:hint="default"/>
        <w:color w:val="EE2375" w:themeColor="text2"/>
      </w:rPr>
    </w:lvl>
    <w:lvl w:ilvl="2">
      <w:start w:val="1"/>
      <w:numFmt w:val="bullet"/>
      <w:lvlText w:val=""/>
      <w:lvlJc w:val="left"/>
      <w:pPr>
        <w:ind w:left="681" w:hanging="227"/>
      </w:pPr>
      <w:rPr>
        <w:rFonts w:ascii="Wingdings" w:hAnsi="Wingdings" w:hint="default"/>
        <w:color w:val="EE2375" w:themeColor="text2"/>
      </w:rPr>
    </w:lvl>
    <w:lvl w:ilvl="3">
      <w:start w:val="1"/>
      <w:numFmt w:val="bullet"/>
      <w:lvlText w:val=""/>
      <w:lvlJc w:val="left"/>
      <w:pPr>
        <w:ind w:left="908" w:hanging="227"/>
      </w:pPr>
      <w:rPr>
        <w:rFonts w:ascii="Wingdings" w:hAnsi="Wingdings" w:hint="default"/>
        <w:color w:val="EE2375" w:themeColor="text2"/>
      </w:rPr>
    </w:lvl>
    <w:lvl w:ilvl="4">
      <w:start w:val="1"/>
      <w:numFmt w:val="bullet"/>
      <w:lvlText w:val=""/>
      <w:lvlJc w:val="left"/>
      <w:pPr>
        <w:ind w:left="1135" w:hanging="227"/>
      </w:pPr>
      <w:rPr>
        <w:rFonts w:ascii="Wingdings" w:hAnsi="Wingdings" w:hint="default"/>
        <w:color w:val="EE2375" w:themeColor="text2"/>
      </w:rPr>
    </w:lvl>
    <w:lvl w:ilvl="5">
      <w:start w:val="1"/>
      <w:numFmt w:val="bullet"/>
      <w:lvlText w:val=""/>
      <w:lvlJc w:val="left"/>
      <w:pPr>
        <w:ind w:left="1362" w:hanging="227"/>
      </w:pPr>
      <w:rPr>
        <w:rFonts w:ascii="Wingdings" w:hAnsi="Wingdings" w:hint="default"/>
        <w:color w:val="EE2375" w:themeColor="text2"/>
      </w:rPr>
    </w:lvl>
    <w:lvl w:ilvl="6">
      <w:start w:val="1"/>
      <w:numFmt w:val="bullet"/>
      <w:lvlText w:val=""/>
      <w:lvlJc w:val="left"/>
      <w:pPr>
        <w:ind w:left="1589" w:hanging="227"/>
      </w:pPr>
      <w:rPr>
        <w:rFonts w:ascii="Wingdings" w:hAnsi="Wingdings" w:hint="default"/>
        <w:color w:val="EE2375" w:themeColor="text2"/>
      </w:rPr>
    </w:lvl>
    <w:lvl w:ilvl="7">
      <w:start w:val="1"/>
      <w:numFmt w:val="bullet"/>
      <w:lvlText w:val=""/>
      <w:lvlJc w:val="left"/>
      <w:pPr>
        <w:ind w:left="1816" w:hanging="227"/>
      </w:pPr>
      <w:rPr>
        <w:rFonts w:ascii="Wingdings" w:hAnsi="Wingdings" w:hint="default"/>
        <w:color w:val="EE2375" w:themeColor="text2"/>
      </w:rPr>
    </w:lvl>
    <w:lvl w:ilvl="8">
      <w:start w:val="1"/>
      <w:numFmt w:val="bullet"/>
      <w:lvlText w:val=""/>
      <w:lvlJc w:val="left"/>
      <w:pPr>
        <w:ind w:left="2043" w:hanging="227"/>
      </w:pPr>
      <w:rPr>
        <w:rFonts w:ascii="Wingdings" w:hAnsi="Wingdings" w:hint="default"/>
        <w:color w:val="EE2375" w:themeColor="text2"/>
      </w:rPr>
    </w:lvl>
  </w:abstractNum>
  <w:abstractNum w:abstractNumId="5">
    <w:nsid w:val="4B596366"/>
    <w:multiLevelType w:val="multilevel"/>
    <w:tmpl w:val="322C2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E83C12"/>
    <w:multiLevelType w:val="hybridMultilevel"/>
    <w:tmpl w:val="65F4CD8A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EE2375" w:themeColor="text2"/>
        <w:sz w:val="18"/>
        <w:szCs w:val="18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A051A14"/>
    <w:multiLevelType w:val="multilevel"/>
    <w:tmpl w:val="5916F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DD381D"/>
    <w:multiLevelType w:val="multilevel"/>
    <w:tmpl w:val="D616A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4"/>
  </w:num>
  <w:num w:numId="4">
    <w:abstractNumId w:val="4"/>
  </w:num>
  <w:num w:numId="5">
    <w:abstractNumId w:val="6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5"/>
  </w:num>
  <w:num w:numId="11">
    <w:abstractNumId w:val="2"/>
  </w:num>
  <w:num w:numId="12">
    <w:abstractNumId w:val="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D21CED"/>
    <w:rsid w:val="00024B33"/>
    <w:rsid w:val="00026372"/>
    <w:rsid w:val="00083CF3"/>
    <w:rsid w:val="000D2AC1"/>
    <w:rsid w:val="000E4D15"/>
    <w:rsid w:val="001366D1"/>
    <w:rsid w:val="00160EBE"/>
    <w:rsid w:val="001623A6"/>
    <w:rsid w:val="00172104"/>
    <w:rsid w:val="00184D74"/>
    <w:rsid w:val="002020CE"/>
    <w:rsid w:val="00266FCD"/>
    <w:rsid w:val="00270E4C"/>
    <w:rsid w:val="002A7811"/>
    <w:rsid w:val="00324AEA"/>
    <w:rsid w:val="00327609"/>
    <w:rsid w:val="00350781"/>
    <w:rsid w:val="00590B61"/>
    <w:rsid w:val="005A6EF8"/>
    <w:rsid w:val="005D3DA4"/>
    <w:rsid w:val="0061659A"/>
    <w:rsid w:val="00616F0C"/>
    <w:rsid w:val="00645C06"/>
    <w:rsid w:val="006842FE"/>
    <w:rsid w:val="007406EA"/>
    <w:rsid w:val="0074663F"/>
    <w:rsid w:val="008055FA"/>
    <w:rsid w:val="008237E4"/>
    <w:rsid w:val="0088420A"/>
    <w:rsid w:val="00886327"/>
    <w:rsid w:val="008C461D"/>
    <w:rsid w:val="008D10B8"/>
    <w:rsid w:val="008E7901"/>
    <w:rsid w:val="008F7A95"/>
    <w:rsid w:val="00902C45"/>
    <w:rsid w:val="00993ADC"/>
    <w:rsid w:val="009E0FAF"/>
    <w:rsid w:val="00AA3683"/>
    <w:rsid w:val="00AC3C17"/>
    <w:rsid w:val="00B27907"/>
    <w:rsid w:val="00BB284E"/>
    <w:rsid w:val="00BB2A26"/>
    <w:rsid w:val="00BE188F"/>
    <w:rsid w:val="00C32426"/>
    <w:rsid w:val="00C4724E"/>
    <w:rsid w:val="00C6103D"/>
    <w:rsid w:val="00D21CED"/>
    <w:rsid w:val="00D73FB4"/>
    <w:rsid w:val="00E51291"/>
    <w:rsid w:val="00E55604"/>
    <w:rsid w:val="00E62746"/>
    <w:rsid w:val="00EA1C80"/>
    <w:rsid w:val="00EA69EB"/>
    <w:rsid w:val="00F54B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unhideWhenUsed="0" w:qFormat="1"/>
    <w:lsdException w:name="heading 4" w:uiPriority="9" w:unhideWhenUsed="0" w:qFormat="1"/>
    <w:lsdException w:name="heading 5" w:uiPriority="9" w:unhideWhenUsed="0" w:qFormat="1"/>
    <w:lsdException w:name="heading 6" w:uiPriority="9" w:unhideWhenUsed="0" w:qFormat="1"/>
    <w:lsdException w:name="heading 7" w:uiPriority="9" w:unhideWhenUsed="0" w:qFormat="1"/>
    <w:lsdException w:name="heading 8" w:uiPriority="9" w:unhideWhenUsed="0" w:qFormat="1"/>
    <w:lsdException w:name="heading 9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42FE"/>
    <w:pPr>
      <w:spacing w:after="260" w:line="216" w:lineRule="auto"/>
    </w:pPr>
    <w:rPr>
      <w:sz w:val="21"/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406E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7406EA"/>
    <w:pPr>
      <w:keepNext/>
      <w:keepLines/>
      <w:spacing w:before="40" w:after="160"/>
      <w:outlineLvl w:val="1"/>
    </w:pPr>
    <w:rPr>
      <w:rFonts w:ascii="Brainlab Now Black" w:eastAsiaTheme="majorEastAsia" w:hAnsi="Brainlab Now Black" w:cstheme="majorBidi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qFormat/>
    <w:rsid w:val="00D21CED"/>
    <w:pPr>
      <w:keepNext/>
      <w:keepLines/>
      <w:spacing w:before="160" w:after="80"/>
      <w:outlineLvl w:val="2"/>
    </w:pPr>
    <w:rPr>
      <w:rFonts w:eastAsiaTheme="majorEastAsia" w:cstheme="majorBidi"/>
      <w:color w:val="BD0E5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qFormat/>
    <w:rsid w:val="00D21C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BD0E5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qFormat/>
    <w:rsid w:val="00D21CED"/>
    <w:pPr>
      <w:keepNext/>
      <w:keepLines/>
      <w:spacing w:before="80" w:after="40"/>
      <w:outlineLvl w:val="4"/>
    </w:pPr>
    <w:rPr>
      <w:rFonts w:eastAsiaTheme="majorEastAsia" w:cstheme="majorBidi"/>
      <w:color w:val="BD0E5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qFormat/>
    <w:rsid w:val="00D21C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81848B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qFormat/>
    <w:rsid w:val="00D21CED"/>
    <w:pPr>
      <w:keepNext/>
      <w:keepLines/>
      <w:spacing w:before="40" w:after="0"/>
      <w:outlineLvl w:val="6"/>
    </w:pPr>
    <w:rPr>
      <w:rFonts w:eastAsiaTheme="majorEastAsia" w:cstheme="majorBidi"/>
      <w:color w:val="81848B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qFormat/>
    <w:rsid w:val="00D21CED"/>
    <w:pPr>
      <w:keepNext/>
      <w:keepLines/>
      <w:spacing w:after="0"/>
      <w:outlineLvl w:val="7"/>
    </w:pPr>
    <w:rPr>
      <w:rFonts w:eastAsiaTheme="majorEastAsia" w:cstheme="majorBidi"/>
      <w:i/>
      <w:iCs/>
      <w:color w:val="5E6066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qFormat/>
    <w:rsid w:val="00D21CED"/>
    <w:pPr>
      <w:keepNext/>
      <w:keepLines/>
      <w:spacing w:after="0"/>
      <w:outlineLvl w:val="8"/>
    </w:pPr>
    <w:rPr>
      <w:rFonts w:eastAsiaTheme="majorEastAsia" w:cstheme="majorBidi"/>
      <w:color w:val="5E6066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406EA"/>
    <w:pPr>
      <w:tabs>
        <w:tab w:val="center" w:pos="4536"/>
        <w:tab w:val="right" w:pos="9072"/>
      </w:tabs>
      <w:spacing w:after="0"/>
      <w:jc w:val="right"/>
    </w:pPr>
    <w:rPr>
      <w:rFonts w:cs="Arial"/>
      <w:color w:val="434549" w:themeColor="text1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7406EA"/>
    <w:rPr>
      <w:rFonts w:cs="Arial"/>
      <w:color w:val="434549" w:themeColor="text1"/>
      <w:sz w:val="16"/>
      <w:szCs w:val="16"/>
      <w:lang w:val="en-US"/>
    </w:rPr>
  </w:style>
  <w:style w:type="paragraph" w:styleId="Stopka">
    <w:name w:val="footer"/>
    <w:basedOn w:val="Normalny"/>
    <w:link w:val="StopkaZnak"/>
    <w:uiPriority w:val="99"/>
    <w:rsid w:val="007406EA"/>
    <w:pPr>
      <w:tabs>
        <w:tab w:val="center" w:pos="4536"/>
        <w:tab w:val="right" w:pos="9072"/>
      </w:tabs>
      <w:spacing w:after="0"/>
      <w:jc w:val="right"/>
    </w:pPr>
    <w:rPr>
      <w:color w:val="434549" w:themeColor="text1"/>
      <w:sz w:val="14"/>
      <w:szCs w:val="14"/>
    </w:rPr>
  </w:style>
  <w:style w:type="character" w:customStyle="1" w:styleId="StopkaZnak">
    <w:name w:val="Stopka Znak"/>
    <w:basedOn w:val="Domylnaczcionkaakapitu"/>
    <w:link w:val="Stopka"/>
    <w:uiPriority w:val="99"/>
    <w:rsid w:val="007406EA"/>
    <w:rPr>
      <w:color w:val="434549" w:themeColor="text1"/>
      <w:sz w:val="14"/>
      <w:szCs w:val="14"/>
      <w:lang w:val="en-US"/>
    </w:rPr>
  </w:style>
  <w:style w:type="paragraph" w:styleId="Bezodstpw">
    <w:name w:val="No Spacing"/>
    <w:uiPriority w:val="1"/>
    <w:semiHidden/>
    <w:qFormat/>
    <w:rsid w:val="00C6103D"/>
    <w:pPr>
      <w:spacing w:after="0" w:line="216" w:lineRule="auto"/>
    </w:pPr>
    <w:rPr>
      <w:sz w:val="21"/>
      <w:lang w:val="en-US"/>
    </w:rPr>
  </w:style>
  <w:style w:type="table" w:styleId="Tabela-Siatka">
    <w:name w:val="Table Grid"/>
    <w:basedOn w:val="Standardowy"/>
    <w:uiPriority w:val="39"/>
    <w:rsid w:val="00C610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886327"/>
    <w:pPr>
      <w:spacing w:after="0" w:line="680" w:lineRule="exact"/>
      <w:contextualSpacing/>
    </w:pPr>
    <w:rPr>
      <w:rFonts w:asciiTheme="majorHAnsi" w:eastAsiaTheme="majorEastAsia" w:hAnsiTheme="majorHAnsi" w:cstheme="majorBidi"/>
      <w:color w:val="EE2375" w:themeColor="text2"/>
      <w:spacing w:val="-10"/>
      <w:kern w:val="28"/>
      <w:sz w:val="60"/>
      <w:szCs w:val="56"/>
      <w:lang w:val="fr-FR"/>
    </w:rPr>
  </w:style>
  <w:style w:type="character" w:customStyle="1" w:styleId="TytuZnak">
    <w:name w:val="Tytuł Znak"/>
    <w:basedOn w:val="Domylnaczcionkaakapitu"/>
    <w:link w:val="Tytu"/>
    <w:uiPriority w:val="10"/>
    <w:rsid w:val="00886327"/>
    <w:rPr>
      <w:rFonts w:asciiTheme="majorHAnsi" w:eastAsiaTheme="majorEastAsia" w:hAnsiTheme="majorHAnsi" w:cstheme="majorBidi"/>
      <w:color w:val="EE2375" w:themeColor="text2"/>
      <w:spacing w:val="-10"/>
      <w:kern w:val="28"/>
      <w:sz w:val="60"/>
      <w:szCs w:val="56"/>
      <w:lang w:val="fr-FR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6327"/>
    <w:pPr>
      <w:numPr>
        <w:ilvl w:val="1"/>
      </w:numPr>
      <w:spacing w:after="160" w:line="680" w:lineRule="exact"/>
    </w:pPr>
    <w:rPr>
      <w:rFonts w:asciiTheme="majorHAnsi" w:eastAsiaTheme="minorEastAsia" w:hAnsiTheme="majorHAnsi"/>
      <w:color w:val="434549" w:themeColor="text1"/>
      <w:spacing w:val="15"/>
      <w:sz w:val="60"/>
    </w:rPr>
  </w:style>
  <w:style w:type="character" w:customStyle="1" w:styleId="PodtytuZnak">
    <w:name w:val="Podtytuł Znak"/>
    <w:basedOn w:val="Domylnaczcionkaakapitu"/>
    <w:link w:val="Podtytu"/>
    <w:uiPriority w:val="11"/>
    <w:rsid w:val="00886327"/>
    <w:rPr>
      <w:rFonts w:asciiTheme="majorHAnsi" w:eastAsiaTheme="minorEastAsia" w:hAnsiTheme="majorHAnsi"/>
      <w:color w:val="434549" w:themeColor="text1"/>
      <w:spacing w:val="15"/>
      <w:sz w:val="60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7406EA"/>
    <w:rPr>
      <w:rFonts w:asciiTheme="majorHAnsi" w:eastAsiaTheme="majorEastAsia" w:hAnsiTheme="majorHAnsi" w:cstheme="majorBidi"/>
      <w:sz w:val="32"/>
      <w:szCs w:val="32"/>
      <w:lang w:val="en-US"/>
    </w:rPr>
  </w:style>
  <w:style w:type="paragraph" w:styleId="Akapitzlist">
    <w:name w:val="List Paragraph"/>
    <w:basedOn w:val="Normalny"/>
    <w:uiPriority w:val="1"/>
    <w:qFormat/>
    <w:rsid w:val="00EA1C80"/>
    <w:pPr>
      <w:numPr>
        <w:numId w:val="3"/>
      </w:numPr>
    </w:pPr>
  </w:style>
  <w:style w:type="character" w:customStyle="1" w:styleId="Nagwek2Znak">
    <w:name w:val="Nagłówek 2 Znak"/>
    <w:basedOn w:val="Domylnaczcionkaakapitu"/>
    <w:link w:val="Nagwek2"/>
    <w:uiPriority w:val="9"/>
    <w:rsid w:val="007406EA"/>
    <w:rPr>
      <w:rFonts w:ascii="Brainlab Now Black" w:eastAsiaTheme="majorEastAsia" w:hAnsi="Brainlab Now Black" w:cstheme="majorBidi"/>
      <w:sz w:val="21"/>
      <w:szCs w:val="26"/>
      <w:lang w:val="en-US"/>
    </w:rPr>
  </w:style>
  <w:style w:type="table" w:customStyle="1" w:styleId="GridTable5DarkAccent1">
    <w:name w:val="Grid Table 5 Dark Accent 1"/>
    <w:basedOn w:val="Standardowy"/>
    <w:uiPriority w:val="50"/>
    <w:rsid w:val="00324A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D2E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E237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E237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E237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E2375" w:themeFill="accent1"/>
      </w:tcPr>
    </w:tblStylePr>
    <w:tblStylePr w:type="band1Vert">
      <w:tblPr/>
      <w:tcPr>
        <w:shd w:val="clear" w:color="auto" w:fill="F8A6C7" w:themeFill="accent1" w:themeFillTint="66"/>
      </w:tcPr>
    </w:tblStylePr>
    <w:tblStylePr w:type="band1Horz">
      <w:tblPr/>
      <w:tcPr>
        <w:shd w:val="clear" w:color="auto" w:fill="F8A6C7" w:themeFill="accent1" w:themeFillTint="66"/>
      </w:tcPr>
    </w:tblStylePr>
  </w:style>
  <w:style w:type="table" w:customStyle="1" w:styleId="GridTable5DarkAccent6">
    <w:name w:val="Grid Table 5 Dark Accent 6"/>
    <w:basedOn w:val="Standardowy"/>
    <w:uiPriority w:val="50"/>
    <w:rsid w:val="00324A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7E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8C8F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8C8F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F8C8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F8C8F" w:themeFill="accent6"/>
      </w:tcPr>
    </w:tblStylePr>
    <w:tblStylePr w:type="band1Vert">
      <w:tblPr/>
      <w:tcPr>
        <w:shd w:val="clear" w:color="auto" w:fill="D2D0D2" w:themeFill="accent6" w:themeFillTint="66"/>
      </w:tcPr>
    </w:tblStylePr>
    <w:tblStylePr w:type="band1Horz">
      <w:tblPr/>
      <w:tcPr>
        <w:shd w:val="clear" w:color="auto" w:fill="D2D0D2" w:themeFill="accent6" w:themeFillTint="66"/>
      </w:tcPr>
    </w:tblStylePr>
  </w:style>
  <w:style w:type="table" w:customStyle="1" w:styleId="GridTable5DarkAccent4">
    <w:name w:val="Grid Table 5 Dark Accent 4"/>
    <w:basedOn w:val="Standardowy"/>
    <w:uiPriority w:val="50"/>
    <w:rsid w:val="00324A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ECD1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AA21B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AA21B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AA21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AA21B" w:themeFill="accent4"/>
      </w:tcPr>
    </w:tblStylePr>
    <w:tblStylePr w:type="band1Vert">
      <w:tblPr/>
      <w:tcPr>
        <w:shd w:val="clear" w:color="auto" w:fill="FDD9A3" w:themeFill="accent4" w:themeFillTint="66"/>
      </w:tcPr>
    </w:tblStylePr>
    <w:tblStylePr w:type="band1Horz">
      <w:tblPr/>
      <w:tcPr>
        <w:shd w:val="clear" w:color="auto" w:fill="FDD9A3" w:themeFill="accent4" w:themeFillTint="66"/>
      </w:tcPr>
    </w:tblStylePr>
  </w:style>
  <w:style w:type="table" w:customStyle="1" w:styleId="GridTable5DarkAccent2">
    <w:name w:val="Grid Table 5 Dark Accent 2"/>
    <w:basedOn w:val="Standardowy"/>
    <w:uiPriority w:val="50"/>
    <w:rsid w:val="00324A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EA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83BF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83BF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83B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83BF" w:themeFill="accent2"/>
      </w:tcPr>
    </w:tblStylePr>
    <w:tblStylePr w:type="band1Vert">
      <w:tblPr/>
      <w:tcPr>
        <w:shd w:val="clear" w:color="auto" w:fill="7FD6FF" w:themeFill="accent2" w:themeFillTint="66"/>
      </w:tcPr>
    </w:tblStylePr>
    <w:tblStylePr w:type="band1Horz">
      <w:tblPr/>
      <w:tcPr>
        <w:shd w:val="clear" w:color="auto" w:fill="7FD6FF" w:themeFill="accent2" w:themeFillTint="66"/>
      </w:tcPr>
    </w:tblStylePr>
  </w:style>
  <w:style w:type="table" w:customStyle="1" w:styleId="GridTable2Accent1">
    <w:name w:val="Grid Table 2 Accent 1"/>
    <w:basedOn w:val="Standardowy"/>
    <w:uiPriority w:val="47"/>
    <w:rsid w:val="00324A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F47AAC" w:themeColor="accent1" w:themeTint="99"/>
        <w:bottom w:val="single" w:sz="2" w:space="0" w:color="F47AAC" w:themeColor="accent1" w:themeTint="99"/>
        <w:insideH w:val="single" w:sz="2" w:space="0" w:color="F47AAC" w:themeColor="accent1" w:themeTint="99"/>
        <w:insideV w:val="single" w:sz="2" w:space="0" w:color="F47AAC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47AAC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7AAC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2E3" w:themeFill="accent1" w:themeFillTint="33"/>
      </w:tcPr>
    </w:tblStylePr>
    <w:tblStylePr w:type="band1Horz">
      <w:tblPr/>
      <w:tcPr>
        <w:shd w:val="clear" w:color="auto" w:fill="FBD2E3" w:themeFill="accent1" w:themeFillTint="33"/>
      </w:tcPr>
    </w:tblStylePr>
  </w:style>
  <w:style w:type="paragraph" w:customStyle="1" w:styleId="TableText">
    <w:name w:val="Table Text"/>
    <w:basedOn w:val="Normalny"/>
    <w:uiPriority w:val="10"/>
    <w:qFormat/>
    <w:rsid w:val="007406EA"/>
    <w:pPr>
      <w:spacing w:before="80" w:after="80"/>
    </w:pPr>
    <w:rPr>
      <w:bCs/>
    </w:rPr>
  </w:style>
  <w:style w:type="table" w:customStyle="1" w:styleId="GridTable2">
    <w:name w:val="Grid Table 2"/>
    <w:basedOn w:val="Standardowy"/>
    <w:uiPriority w:val="47"/>
    <w:rsid w:val="00184D7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8B8E94" w:themeColor="text1" w:themeTint="99"/>
        <w:bottom w:val="single" w:sz="2" w:space="0" w:color="8B8E94" w:themeColor="text1" w:themeTint="99"/>
        <w:insideH w:val="single" w:sz="2" w:space="0" w:color="8B8E94" w:themeColor="text1" w:themeTint="99"/>
        <w:insideV w:val="single" w:sz="2" w:space="0" w:color="8B8E94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B8E94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B8E94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9DB" w:themeFill="text1" w:themeFillTint="33"/>
      </w:tcPr>
    </w:tblStylePr>
    <w:tblStylePr w:type="band1Horz">
      <w:tblPr/>
      <w:tcPr>
        <w:shd w:val="clear" w:color="auto" w:fill="D8D9DB" w:themeFill="text1" w:themeFillTint="33"/>
      </w:tcPr>
    </w:tblStylePr>
  </w:style>
  <w:style w:type="paragraph" w:customStyle="1" w:styleId="TableHead">
    <w:name w:val="Table Head"/>
    <w:basedOn w:val="TableText"/>
    <w:uiPriority w:val="10"/>
    <w:qFormat/>
    <w:rsid w:val="007406EA"/>
    <w:rPr>
      <w:rFonts w:asciiTheme="majorHAnsi" w:hAnsiTheme="majorHAnsi"/>
    </w:rPr>
  </w:style>
  <w:style w:type="character" w:styleId="Pogrubienie">
    <w:name w:val="Strong"/>
    <w:basedOn w:val="Domylnaczcionkaakapitu"/>
    <w:uiPriority w:val="22"/>
    <w:qFormat/>
    <w:rsid w:val="006842FE"/>
    <w:rPr>
      <w:rFonts w:ascii="Brainlab Now" w:hAnsi="Brainlab Now"/>
      <w:b/>
      <w:bCs/>
      <w:noProof w:val="0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1CED"/>
    <w:rPr>
      <w:rFonts w:eastAsiaTheme="majorEastAsia" w:cstheme="majorBidi"/>
      <w:color w:val="BD0E55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1CED"/>
    <w:rPr>
      <w:rFonts w:eastAsiaTheme="majorEastAsia" w:cstheme="majorBidi"/>
      <w:i/>
      <w:iCs/>
      <w:color w:val="BD0E55" w:themeColor="accent1" w:themeShade="BF"/>
      <w:sz w:val="21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1CED"/>
    <w:rPr>
      <w:rFonts w:eastAsiaTheme="majorEastAsia" w:cstheme="majorBidi"/>
      <w:color w:val="BD0E55" w:themeColor="accent1" w:themeShade="BF"/>
      <w:sz w:val="21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1CED"/>
    <w:rPr>
      <w:rFonts w:eastAsiaTheme="majorEastAsia" w:cstheme="majorBidi"/>
      <w:i/>
      <w:iCs/>
      <w:color w:val="81848B" w:themeColor="text1" w:themeTint="A6"/>
      <w:sz w:val="21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1CED"/>
    <w:rPr>
      <w:rFonts w:eastAsiaTheme="majorEastAsia" w:cstheme="majorBidi"/>
      <w:color w:val="81848B" w:themeColor="text1" w:themeTint="A6"/>
      <w:sz w:val="21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1CED"/>
    <w:rPr>
      <w:rFonts w:eastAsiaTheme="majorEastAsia" w:cstheme="majorBidi"/>
      <w:i/>
      <w:iCs/>
      <w:color w:val="5E6066" w:themeColor="text1" w:themeTint="D8"/>
      <w:sz w:val="21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1CED"/>
    <w:rPr>
      <w:rFonts w:eastAsiaTheme="majorEastAsia" w:cstheme="majorBidi"/>
      <w:color w:val="5E6066" w:themeColor="text1" w:themeTint="D8"/>
      <w:sz w:val="21"/>
      <w:lang w:val="en-US"/>
    </w:rPr>
  </w:style>
  <w:style w:type="paragraph" w:styleId="Cytat">
    <w:name w:val="Quote"/>
    <w:basedOn w:val="Normalny"/>
    <w:next w:val="Normalny"/>
    <w:link w:val="CytatZnak"/>
    <w:uiPriority w:val="29"/>
    <w:semiHidden/>
    <w:rsid w:val="00D21CED"/>
    <w:pPr>
      <w:spacing w:before="160" w:after="160"/>
      <w:jc w:val="center"/>
    </w:pPr>
    <w:rPr>
      <w:i/>
      <w:iCs/>
      <w:color w:val="6F7279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semiHidden/>
    <w:rsid w:val="00D21CED"/>
    <w:rPr>
      <w:i/>
      <w:iCs/>
      <w:color w:val="6F7279" w:themeColor="text1" w:themeTint="BF"/>
      <w:sz w:val="21"/>
      <w:lang w:val="en-US"/>
    </w:rPr>
  </w:style>
  <w:style w:type="character" w:styleId="Wyrnienieintensywne">
    <w:name w:val="Intense Emphasis"/>
    <w:basedOn w:val="Domylnaczcionkaakapitu"/>
    <w:uiPriority w:val="21"/>
    <w:semiHidden/>
    <w:rsid w:val="00D21CED"/>
    <w:rPr>
      <w:i/>
      <w:iCs/>
      <w:color w:val="BD0E5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semiHidden/>
    <w:rsid w:val="00D21CED"/>
    <w:pPr>
      <w:pBdr>
        <w:top w:val="single" w:sz="4" w:space="10" w:color="BD0E55" w:themeColor="accent1" w:themeShade="BF"/>
        <w:bottom w:val="single" w:sz="4" w:space="10" w:color="BD0E55" w:themeColor="accent1" w:themeShade="BF"/>
      </w:pBdr>
      <w:spacing w:before="360" w:after="360"/>
      <w:ind w:left="864" w:right="864"/>
      <w:jc w:val="center"/>
    </w:pPr>
    <w:rPr>
      <w:i/>
      <w:iCs/>
      <w:color w:val="BD0E5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semiHidden/>
    <w:rsid w:val="00D21CED"/>
    <w:rPr>
      <w:i/>
      <w:iCs/>
      <w:color w:val="BD0E55" w:themeColor="accent1" w:themeShade="BF"/>
      <w:sz w:val="21"/>
      <w:lang w:val="en-US"/>
    </w:rPr>
  </w:style>
  <w:style w:type="character" w:styleId="Odwoanieintensywne">
    <w:name w:val="Intense Reference"/>
    <w:basedOn w:val="Domylnaczcionkaakapitu"/>
    <w:uiPriority w:val="32"/>
    <w:semiHidden/>
    <w:rsid w:val="00D21CED"/>
    <w:rPr>
      <w:b/>
      <w:bCs/>
      <w:smallCaps/>
      <w:color w:val="BD0E55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rainlab_Colors">
      <a:dk1>
        <a:srgbClr val="434549"/>
      </a:dk1>
      <a:lt1>
        <a:sysClr val="window" lastClr="FFFFFF"/>
      </a:lt1>
      <a:dk2>
        <a:srgbClr val="EE2375"/>
      </a:dk2>
      <a:lt2>
        <a:srgbClr val="FFFFFF"/>
      </a:lt2>
      <a:accent1>
        <a:srgbClr val="EE2375"/>
      </a:accent1>
      <a:accent2>
        <a:srgbClr val="0083BF"/>
      </a:accent2>
      <a:accent3>
        <a:srgbClr val="7F3F98"/>
      </a:accent3>
      <a:accent4>
        <a:srgbClr val="FAA21B"/>
      </a:accent4>
      <a:accent5>
        <a:srgbClr val="00A886"/>
      </a:accent5>
      <a:accent6>
        <a:srgbClr val="8F8C8F"/>
      </a:accent6>
      <a:hlink>
        <a:srgbClr val="EE2375"/>
      </a:hlink>
      <a:folHlink>
        <a:srgbClr val="434549"/>
      </a:folHlink>
    </a:clrScheme>
    <a:fontScheme name="Brainlab Letter">
      <a:majorFont>
        <a:latin typeface="Brainlab Now Medium"/>
        <a:ea typeface=""/>
        <a:cs typeface=""/>
      </a:majorFont>
      <a:minorFont>
        <a:latin typeface="Brainlab Now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1750</Words>
  <Characters>10500</Characters>
  <Application>Microsoft Office Word</Application>
  <DocSecurity>0</DocSecurity>
  <Lines>87</Lines>
  <Paragraphs>24</Paragraphs>
  <ScaleCrop>false</ScaleCrop>
  <Company/>
  <LinksUpToDate>false</LinksUpToDate>
  <CharactersWithSpaces>12226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Warchol</dc:creator>
  <cp:lastModifiedBy>user</cp:lastModifiedBy>
  <cp:revision>4</cp:revision>
  <dcterms:created xsi:type="dcterms:W3CDTF">2025-11-12T12:44:00Z</dcterms:created>
  <dcterms:modified xsi:type="dcterms:W3CDTF">2025-11-14T07:39:00Z</dcterms:modified>
</cp:coreProperties>
</file>