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DDA45" w14:textId="77777777" w:rsidR="004B6E1F" w:rsidRP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811796-2025 - Procedura konkurencyjna</w:t>
      </w:r>
    </w:p>
    <w:p w14:paraId="48EB958F" w14:textId="77777777" w:rsidR="004B6E1F" w:rsidRP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 – Usługi informatyczne: konsultacyjne, opracowywania oprogramowania, internetowe i wsparcia – Integracja i rozbudowa posiadanych systemów informatycznych świadczeniodawcy</w:t>
      </w:r>
    </w:p>
    <w:p w14:paraId="10D5589B" w14:textId="77777777" w:rsidR="004B6E1F" w:rsidRP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236/2025 08/12/2025</w:t>
      </w:r>
    </w:p>
    <w:p w14:paraId="63B4FAFD" w14:textId="77777777" w:rsidR="004B6E1F" w:rsidRP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 - Ogłoszenie o zmianie</w:t>
      </w:r>
    </w:p>
    <w:p w14:paraId="310D9D18" w14:textId="77777777" w:rsid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</w:t>
      </w:r>
    </w:p>
    <w:p w14:paraId="51CF60CD" w14:textId="77777777" w:rsid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A89F35B" w14:textId="77777777" w:rsidR="004B6E1F" w:rsidRPr="004B6E1F" w:rsidRDefault="004B6E1F" w:rsidP="004B6E1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2506BB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124269E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18E5DC4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541227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ED49E7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6DD0875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73E4BFF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29A62D5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67265A1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455BFFD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7573F91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Integracja i rozbudowa posiadanych systemów informatycznych świadczeniodawcy</w:t>
      </w:r>
    </w:p>
    <w:p w14:paraId="7D278A1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Integracja i rozbudowa posiadanych systemów informatycznych świadczeniodawcy zgodnie z opisem przedmiotu zamówienia, projektami umów, specyfikacją warunków zamówienia wraz z jej załącznikami</w:t>
      </w:r>
    </w:p>
    <w:p w14:paraId="70EAABE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b6cf7408-0bbe-42bd-b40f-faa5999086ba</w:t>
      </w:r>
    </w:p>
    <w:p w14:paraId="75D1219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135/2025</w:t>
      </w:r>
    </w:p>
    <w:p w14:paraId="7301AC7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2243182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nie</w:t>
      </w:r>
    </w:p>
    <w:p w14:paraId="03020A1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004A45F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C69CE6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421FF11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72000000 Usługi informatyczne: konsultacyjne, opracowywania oprogramowania, internetowe i wsparcia</w:t>
      </w:r>
    </w:p>
    <w:p w14:paraId="5E7111B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32C0835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E7AE0B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B0AC27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6D312B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A82CFD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76BB27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09AA266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F90B0A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Formularz cenowy; Harmonogram realizacji poszczególnych elementów zadania, specyfikacja wyposażenia IT, Przedmiotowe środki dowodowe: w celu potwierdzenia i weryfikacji informacji podanych w "Specyfikacji wyposażenia IT" należy przedłożyć materiały informacyjne w postaci: katalogów, folderów, opisów przedmiotu zamówienia - zawierających informacje niezbędne do ustalenia zgodności oferty z wymaganiami Zamawiającego, próbka zaoferowanego systemu zawierająca wszystkie niezbędne funkcjonalności opisane w opisie przedmiotu zamówienia, z wyłączeniem opisów dotyczących wymogów technicznych wymaganych przez Zamawiającego urządzeń; Podmiotowy środek dowodowy: Zobowiązanie podmiotu udostępniającego zasoby ( o ile dotyczy) Dokumenty składane na wezwanie zamawiającego: a) Dokumenty żądane w celu potwierdzenia spełniania przez Wykonawcę warunków udziału w postępowaniu: Wykaz osób, Wykaz usług, Zaświadczenie o spełnianiu przez wykonawcę określonych norm zarządzania jakością b)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c) Dokumenty podmiotów zagranicznych: Informacja z odpowiedniego rejestru lub inny równoważny </w:t>
      </w: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dokument; Dokument potwierdzający niezaleganie z opłacaniem podatków, opłat lub składek na ubezpieczenie społeczne lub zdrowotne; Dokument potwierdzający, że nie otwarto likwidacji wykonawcy; Informacje dodatkowe: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4CD527E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28693FE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68C48EF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57ACF5E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2162F29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6C0169D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0D47296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Praca dzieci i inne formy handlu ludźmi: art. 108 ust. 1 pkt. 1 lit. b, f) oraz art. 108 ust. 1 pkt. 2 ustawy Pzp</w:t>
      </w:r>
    </w:p>
    <w:p w14:paraId="7E0C912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Korupcja: art. 108 ust. 1 pkt. 1 lit. c) oraz art. 108 ust. 1 pkt. 2 ustawy Pzp</w:t>
      </w:r>
    </w:p>
    <w:p w14:paraId="4329C0F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33DB988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0A76FE4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 o charakterze wyłącznie krajowym: art. 108 ust. 1 pkt. 1 lit. g) oraz 108 ust. 1 pkt. 2 ustawy Pzp ustawy Pzp</w:t>
      </w:r>
    </w:p>
    <w:p w14:paraId="1205F37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w dziedzinie prawa pracy: art. 108 ust. 1 pkt. 1 lit. h ) oraz art. 108 ust. 1 pkt. 2 ustawy Pzp</w:t>
      </w:r>
    </w:p>
    <w:p w14:paraId="0958DD0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 108 ust. 1 pkt. 3 ustawy Pzp oraz art. 109 ust. 1 pkt. 1 ustawy Pzp</w:t>
      </w:r>
    </w:p>
    <w:p w14:paraId="3123A75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opłacenia składek na ubezpieczenie społeczne: art. 108 ust. 1 pkt. 3 ustawy Pzp oraz art. 109 ust. 1 pkt. 1 ustawy Pzp</w:t>
      </w:r>
    </w:p>
    <w:p w14:paraId="3FD67F2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określonych w podstawach wykluczenia o charakterze wyłącznie krajowym: art. 108 ust. 1 pkt. 4 ustawy Pzp Podstawy wykluczenia wskazane w art. 7 ust. 1 ustawy z dnia 13 kwietnia 2022 r. o szczególnych rozwiązaniach w zakresie przeciwdziałania wspieraniu agresji na Ukrainę oraz służących ochronie bezpieczeństwa narodowego</w:t>
      </w:r>
    </w:p>
    <w:p w14:paraId="22D7F16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 ustawy Pzp</w:t>
      </w:r>
    </w:p>
    <w:p w14:paraId="5153C84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1637A59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 ustawy Pzp</w:t>
      </w:r>
    </w:p>
    <w:p w14:paraId="6FD92CA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 ustawy Pzp</w:t>
      </w:r>
    </w:p>
    <w:p w14:paraId="7992305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 ustawy Pzp</w:t>
      </w:r>
    </w:p>
    <w:p w14:paraId="7854A22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 ustawy Pzp</w:t>
      </w:r>
    </w:p>
    <w:p w14:paraId="61DE002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 ustawy Pzp</w:t>
      </w:r>
    </w:p>
    <w:p w14:paraId="1CB8720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 ustawy Pzp</w:t>
      </w:r>
    </w:p>
    <w:p w14:paraId="6AFAF6D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8DC8BD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FECB88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3770DB1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1. Integracja i rozbudowa posiadanych systemów informatycznych świadczeniodawcy</w:t>
      </w:r>
    </w:p>
    <w:p w14:paraId="7F9170C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Integracja i rozbudowa posiadanych systemów informatycznych świadczeniodawcy zgodnie z opisem przedmiotu zamówienia, projektami umów, specyfikacją warunków zamówienia wraz z jej załącznikami</w:t>
      </w:r>
    </w:p>
    <w:p w14:paraId="09A1167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3E8348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E34736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D3B945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31B61BA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Główna klasyfikacja (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72000000 Usługi informatyczne: konsultacyjne, opracowywania oprogramowania, internetowe i wsparcia</w:t>
      </w:r>
    </w:p>
    <w:p w14:paraId="324EC36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2AB576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244F67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AB00A3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E85022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AF622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655A54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EB1405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0FF583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150 Dni</w:t>
      </w:r>
    </w:p>
    <w:p w14:paraId="4EE8692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51622C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D42106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A7D0C6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A5186F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04B45AE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160FEBD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funduszy UE: Instrument na rzecz Odbudowy i Zwiększania Odporności</w:t>
      </w:r>
    </w:p>
    <w:p w14:paraId="7BD873F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Więcej informacji na temat funduszy UE: Zgodnie z art. 257 ustawy Pzp postępowanie może zostać unieważnione w przypadku nieotrzymania dofinasowania ze środków z KPO "D1.1.2 Przyspieszenie procesów transformacji cyfrowej ochrony zdrowia poprzez dalszy rozwój usług cyfrowych w ochronie zdrowia</w:t>
      </w:r>
    </w:p>
    <w:p w14:paraId="39E5E68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3C8D4F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A9F6D2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12B9EC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1770CD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Uwaga</w:t>
      </w:r>
    </w:p>
    <w:p w14:paraId="6F335D3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Odpowiednie kwalifikacje edukacyjne i zawodowe</w:t>
      </w:r>
    </w:p>
    <w:p w14:paraId="208B855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minimum 2 osoby wyznaczone do realizacji projektu, które posiadają aktualny certyfikat PRINCE2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Practicioner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ze stażem min. 5 lat w sektorze dostaw i realizacji projektów dla służby zdrowia, w szczególności szpitali.</w:t>
      </w:r>
    </w:p>
    <w:p w14:paraId="2386E80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97FCF0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Referencje dotyczące określonych usług</w:t>
      </w:r>
    </w:p>
    <w:p w14:paraId="0734FBE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minimum 1 zrealizowana usługa polegająca na wdrożeniu i rozbudowie systemów informatycznych firmy KAMSOFT, z jednoczesnym zastrzeżeniem, iż zrealizowana usługa ( zrealizowane usługi) sumarycznie opiewać będą na kwotę 2,5 mln złotych brutto.</w:t>
      </w:r>
    </w:p>
    <w:p w14:paraId="16B0C30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635E16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Certyfikaty od niezależnych organizacji dotyczące standardów zapewnienia jakości</w:t>
      </w:r>
    </w:p>
    <w:p w14:paraId="2C14A5F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posiadanie aktualnego certyfikatu ISO 9001 (lub równoważnego) oraz certyfikatu ISO/IEC 27001 ( lub równoważnego)</w:t>
      </w:r>
    </w:p>
    <w:p w14:paraId="2F3029D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5C1AB3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1D1565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6E9EB6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6F9615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1817BE3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-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najniższa cena spośród wszystkich ofert -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cena podana w ofercie</w:t>
      </w:r>
    </w:p>
    <w:p w14:paraId="61E910A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52FE9B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60,00</w:t>
      </w:r>
    </w:p>
    <w:p w14:paraId="5A26340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6A5BD0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F51143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zrealizowania przedmiotu zamówienia</w:t>
      </w:r>
    </w:p>
    <w:p w14:paraId="0480C8E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zrealizowania przedmiotu zamówienia" liczone będą w następujący sposób: Termin zrealizowania przedmiotu zamówienia - minimalnie 100 dni kalendarzowych, maksymalnie 150 dni kalendarzowych, licząc od dnia zawarcia umowy. Liczba punktów = (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</w:t>
      </w: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* 100 * 40 % gdzie: -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zrealizowania przedmiotu zamówienia najniższy spośród wszystkich ofert -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zrealizowania przedmiotu zamówienia podany w ofercie</w:t>
      </w:r>
    </w:p>
    <w:p w14:paraId="5BA7769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27C8B2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40,00</w:t>
      </w:r>
    </w:p>
    <w:p w14:paraId="3EF3B91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710008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BF1AAE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135B0D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CEE56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3446A0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2A469C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87BE6D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452B7B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45FC95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9BCF0B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06B86F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WYMAGANIA DOTYCZĄCE WADIUM Wykonawca zobowiązany jest do wniesienia wadium w wysokości: 31 206.00 PLN (słownie: trzydzieści jeden tysięcy dwieście sześć 00/100 PLN). Wadium musi zostać wniesione przed upływem terminu składania ofert, tj. do dnia 2025-12-19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(t.j. Dz.U. z 2025r. poz. 98). Wadium musi obejmować pełen okres związania ofertą tj. do dnia 2026-03-18.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Pzp. Zamawiający zwróci wadium na zasadach określonych w art. 98 ust. 1-5 ustawy Pzp. W przypadku, gdy Wykonawca nie wniósł wadium lub wniósł w sposób nieprawidłowy lub nie utrzymywał wadium nieprzerwanie do upływu terminu związania ofertą lub złożył wniosek o zwrot wadium, w przypadku o którym mowa w art. 98 ust. 2 pkt 3 ustawy Pzp, Zamawiający odrzuci ofertę Wykonawcy na podstawie art. 226 ust. 1 pkt 14 ustawy Pzp. Zamawiający zatrzyma wadium wraz z odsetkami, a w przypadku wadium wniesionego w formie gwarancji lub poręczenia, wystąpi odpowiednio do gwaranta lub poręczyciela z żądaniem zapłaty wadium, w przypadkach określonych w art. 98 ust. 6 ustawy Pzp.</w:t>
      </w:r>
    </w:p>
    <w:p w14:paraId="08251CC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19/12/2025 08:00:00 (UTC+01:00) czas środkowoeuropejski, czas zachodnioeuropejski letni</w:t>
      </w:r>
    </w:p>
    <w:p w14:paraId="12CCD0F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67A283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765A99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19/12/2025 08:30:00 (UTC+01:00) czas środkowoeuropejski, czas zachodnioeuropejski letni</w:t>
      </w:r>
    </w:p>
    <w:p w14:paraId="0226BC2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Platforma zakupowa e-propublico.pl: </w:t>
      </w:r>
      <w:hyperlink r:id="rId9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0CD88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dodatkowe: Otwarcie ofert nastąpi za pośrednictwem Platformy, na karcie ”Oferta/Załączniki”, poprzez ich odszyfrowanie, które jest jednoznaczne z ich upublicznieniem.</w:t>
      </w:r>
    </w:p>
    <w:p w14:paraId="3EDC251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E86BC1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1EB948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5AED44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0F1215E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3DE6F7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768204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0ABD03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A5E8D5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Brak umowy ramowej</w:t>
      </w:r>
    </w:p>
    <w:p w14:paraId="78611C8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08FFE6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F20427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43A3734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08B2C4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62FBCA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065002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DC3957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34999A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999321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6523E86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D96E8B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116BA58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9B90F9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B9809D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12BF66B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53D41EA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BA97C1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009218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958A00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7FFC77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A93299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4AB07DF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6FDE732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43F599D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401C40F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6F659B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03DBBA1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F7EAF3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5A14A6E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Oficjalna nazwa: KRAJOWA IZBA ODWOŁAWCZA</w:t>
      </w:r>
    </w:p>
    <w:p w14:paraId="655492A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788C337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359E572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168282F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27E6BA4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59854EB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A29DEA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4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634EB50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5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5D82E47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01849CA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577A753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FEF312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663C406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307FE74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35D8F858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5FBC287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069A85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006CBBA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66687EB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51D1118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5C9A93C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31241F6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51D63BD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22C182A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4BD8C8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26C493F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8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5E6D803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29DC7FC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9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0B1E6E7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20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298103D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557DB19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5213B1B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894D573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60CD8A2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483A9B5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0B654A65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47E3C19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07874B00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6C5503DB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1481E5FE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1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5660F77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6101B6C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2" w:history="1">
        <w:r w:rsidRPr="004B6E1F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19CD5BB1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6434AA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0E93A8BC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51BCF37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748309-2025</w:t>
      </w:r>
    </w:p>
    <w:p w14:paraId="58D4D46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77E63C46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zmiana dokonana koniecznością udzielenia wyjaśnień do treści SWZ</w:t>
      </w:r>
    </w:p>
    <w:p w14:paraId="56A3521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52916EE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7f36a339-5f49-4d02-bea3-1f14e74aa202  -  01</w:t>
      </w:r>
    </w:p>
    <w:p w14:paraId="3058B4B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5619A2AD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3082AAA7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1FD9A069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05/12/2025 11:31:50 (UTC+00:00) czas zachodnioeuropejski, GMT</w:t>
      </w:r>
    </w:p>
    <w:p w14:paraId="7AEBAA84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przedmiotowe ogłoszenie jest oficjalnie dostępne: polski</w:t>
      </w:r>
    </w:p>
    <w:p w14:paraId="3DF98A02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811796-2025</w:t>
      </w:r>
    </w:p>
    <w:p w14:paraId="2930328A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236/2025</w:t>
      </w:r>
    </w:p>
    <w:p w14:paraId="390F9A5F" w14:textId="77777777" w:rsidR="004B6E1F" w:rsidRPr="004B6E1F" w:rsidRDefault="004B6E1F" w:rsidP="004B6E1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B6E1F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08/12/2025</w:t>
      </w:r>
    </w:p>
    <w:p w14:paraId="0460E6BC" w14:textId="77777777" w:rsidR="0055213F" w:rsidRDefault="0055213F" w:rsidP="004B6E1F">
      <w:pPr>
        <w:rPr>
          <w:rFonts w:ascii="Arial Narrow" w:hAnsi="Arial Narrow"/>
          <w:sz w:val="20"/>
          <w:szCs w:val="20"/>
        </w:rPr>
      </w:pPr>
    </w:p>
    <w:p w14:paraId="335981C3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5D371107" w14:textId="55157D6C" w:rsidR="004B6E1F" w:rsidRDefault="004B6E1F" w:rsidP="004B6E1F">
      <w:pPr>
        <w:tabs>
          <w:tab w:val="left" w:pos="622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4B6E1F">
        <w:rPr>
          <w:rFonts w:ascii="Arial Narrow" w:hAnsi="Arial Narrow"/>
        </w:rPr>
        <w:t>Zamawiający</w:t>
      </w:r>
    </w:p>
    <w:p w14:paraId="32ACADFB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4F884850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69D9D8D2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2AB9D90B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3E010C33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64B87C47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3BCBFB96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02492ECF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1D3C4395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1BA60FD7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2868E229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06815DCE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724118D1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39A16BF2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032B9668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3C71E8EA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3E86FAD0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48EB4A80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65798430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4AB88EA3" w14:textId="77777777" w:rsidR="004B6E1F" w:rsidRP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5CDE9666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4D5F470F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3CE5A3AB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242D45E5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483A45A8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55737693" w14:textId="77777777" w:rsidR="004B6E1F" w:rsidRDefault="004B6E1F" w:rsidP="004B6E1F">
      <w:pPr>
        <w:rPr>
          <w:rFonts w:ascii="Arial Narrow" w:hAnsi="Arial Narrow"/>
          <w:sz w:val="20"/>
          <w:szCs w:val="20"/>
        </w:rPr>
      </w:pPr>
    </w:p>
    <w:p w14:paraId="0FC7CDD5" w14:textId="2318D9BB" w:rsidR="004B6E1F" w:rsidRDefault="004B6E1F" w:rsidP="004B6E1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1 egz. na 4 ark. </w:t>
      </w:r>
    </w:p>
    <w:p w14:paraId="56B56E88" w14:textId="179B0E8C" w:rsidR="004B6E1F" w:rsidRDefault="004B6E1F" w:rsidP="004B6E1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A188A98" w14:textId="2957B391" w:rsidR="004B6E1F" w:rsidRDefault="004B6E1F" w:rsidP="004B6E1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08655B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</w:p>
    <w:p w14:paraId="62BE567E" w14:textId="62417CF2" w:rsidR="004B6E1F" w:rsidRPr="004B6E1F" w:rsidRDefault="004B6E1F" w:rsidP="004B6E1F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2025-12-08</w:t>
      </w:r>
    </w:p>
    <w:sectPr w:rsidR="004B6E1F" w:rsidRPr="004B6E1F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C1242" w14:textId="77777777" w:rsidR="005B46FA" w:rsidRDefault="005B46FA" w:rsidP="004B6E1F">
      <w:pPr>
        <w:spacing w:after="0" w:line="240" w:lineRule="auto"/>
      </w:pPr>
      <w:r>
        <w:separator/>
      </w:r>
    </w:p>
  </w:endnote>
  <w:endnote w:type="continuationSeparator" w:id="0">
    <w:p w14:paraId="027360D3" w14:textId="77777777" w:rsidR="005B46FA" w:rsidRDefault="005B46FA" w:rsidP="004B6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846AC" w14:textId="77777777" w:rsidR="005B46FA" w:rsidRDefault="005B46FA" w:rsidP="004B6E1F">
      <w:pPr>
        <w:spacing w:after="0" w:line="240" w:lineRule="auto"/>
      </w:pPr>
      <w:r>
        <w:separator/>
      </w:r>
    </w:p>
  </w:footnote>
  <w:footnote w:type="continuationSeparator" w:id="0">
    <w:p w14:paraId="48F9B1F3" w14:textId="77777777" w:rsidR="005B46FA" w:rsidRDefault="005B46FA" w:rsidP="004B6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8E33" w14:textId="7538985B" w:rsidR="004B6E1F" w:rsidRDefault="004B6E1F">
    <w:pPr>
      <w:pStyle w:val="Nagwek"/>
    </w:pPr>
    <w:r>
      <w:t>Sprawa 135/2025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E1F"/>
    <w:rsid w:val="001915D9"/>
    <w:rsid w:val="003913E9"/>
    <w:rsid w:val="004B6E1F"/>
    <w:rsid w:val="0055213F"/>
    <w:rsid w:val="005B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F9C1"/>
  <w15:chartTrackingRefBased/>
  <w15:docId w15:val="{59875A2F-E3BC-4B1D-8D73-B46EA5BB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6E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6E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6E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6E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6E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6E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6E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6E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6E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6E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6E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6E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6E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6E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6E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6E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6E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6E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6E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6E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6E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6E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6E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6E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6E1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6E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6E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6E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6E1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B6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E1F"/>
  </w:style>
  <w:style w:type="paragraph" w:styleId="Stopka">
    <w:name w:val="footer"/>
    <w:basedOn w:val="Normalny"/>
    <w:link w:val="StopkaZnak"/>
    <w:uiPriority w:val="99"/>
    <w:unhideWhenUsed/>
    <w:rsid w:val="004B6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E1F"/>
  </w:style>
  <w:style w:type="character" w:styleId="Hipercze">
    <w:name w:val="Hyperlink"/>
    <w:basedOn w:val="Domylnaczcionkaakapitu"/>
    <w:uiPriority w:val="99"/>
    <w:unhideWhenUsed/>
    <w:rsid w:val="004B6E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6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2923</Words>
  <Characters>17539</Characters>
  <Application>Microsoft Office Word</Application>
  <DocSecurity>0</DocSecurity>
  <Lines>146</Lines>
  <Paragraphs>40</Paragraphs>
  <ScaleCrop>false</ScaleCrop>
  <Company/>
  <LinksUpToDate>false</LinksUpToDate>
  <CharactersWithSpaces>20422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2025-12-08T09:05:00Z</dcterms:created>
  <dcterms:modified xsi:type="dcterms:W3CDTF">2025-12-08T09:07:00Z</dcterms:modified>
</cp:coreProperties>
</file>