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3E5B3" w14:textId="08D018B8" w:rsidR="00FA2B0B" w:rsidRPr="00E52F16" w:rsidRDefault="00FA2B0B" w:rsidP="00FA2B0B">
      <w:pPr>
        <w:jc w:val="right"/>
        <w:rPr>
          <w:rFonts w:ascii="Times New Roman" w:hAnsi="Times New Roman" w:cs="Times New Roman"/>
          <w:b/>
          <w:bCs/>
          <w:sz w:val="24"/>
          <w:szCs w:val="24"/>
        </w:rPr>
      </w:pPr>
      <w:r w:rsidRPr="00E52F16">
        <w:rPr>
          <w:rFonts w:ascii="Times New Roman" w:hAnsi="Times New Roman" w:cs="Times New Roman"/>
          <w:b/>
          <w:bCs/>
          <w:sz w:val="24"/>
          <w:szCs w:val="24"/>
        </w:rPr>
        <w:t>Załącznik A do SWZ</w:t>
      </w:r>
    </w:p>
    <w:p w14:paraId="35B396D3" w14:textId="77777777" w:rsidR="00320AE4" w:rsidRDefault="00320AE4" w:rsidP="00FA2B0B">
      <w:pPr>
        <w:jc w:val="center"/>
        <w:rPr>
          <w:rFonts w:ascii="Times New Roman" w:hAnsi="Times New Roman" w:cs="Times New Roman"/>
          <w:b/>
          <w:bCs/>
          <w:sz w:val="24"/>
          <w:szCs w:val="24"/>
        </w:rPr>
      </w:pPr>
    </w:p>
    <w:p w14:paraId="7054881A" w14:textId="599B4BB0" w:rsidR="00AF38A5" w:rsidRPr="00E52F16" w:rsidRDefault="00FA2B0B" w:rsidP="00FA2B0B">
      <w:pPr>
        <w:jc w:val="center"/>
        <w:rPr>
          <w:rFonts w:ascii="Times New Roman" w:hAnsi="Times New Roman" w:cs="Times New Roman"/>
          <w:b/>
          <w:bCs/>
          <w:sz w:val="24"/>
          <w:szCs w:val="24"/>
        </w:rPr>
      </w:pPr>
      <w:r w:rsidRPr="00E52F16">
        <w:rPr>
          <w:rFonts w:ascii="Times New Roman" w:hAnsi="Times New Roman" w:cs="Times New Roman"/>
          <w:b/>
          <w:bCs/>
          <w:sz w:val="24"/>
          <w:szCs w:val="24"/>
        </w:rPr>
        <w:t>OPIS PRZEDMIOTU ZAMÓWIENIA</w:t>
      </w:r>
      <w:r w:rsidR="00FB5692">
        <w:rPr>
          <w:rFonts w:ascii="Times New Roman" w:hAnsi="Times New Roman" w:cs="Times New Roman"/>
          <w:b/>
          <w:bCs/>
          <w:sz w:val="24"/>
          <w:szCs w:val="24"/>
        </w:rPr>
        <w:t xml:space="preserve"> – Cz. 1</w:t>
      </w:r>
    </w:p>
    <w:p w14:paraId="6A04A2E8" w14:textId="77777777" w:rsidR="00FA2B0B" w:rsidRPr="00E52F16" w:rsidRDefault="00FA2B0B" w:rsidP="00FA2B0B">
      <w:pPr>
        <w:spacing w:before="120" w:line="360" w:lineRule="auto"/>
        <w:jc w:val="center"/>
        <w:rPr>
          <w:rFonts w:ascii="Times New Roman" w:hAnsi="Times New Roman" w:cs="Times New Roman"/>
          <w:b/>
          <w:kern w:val="24"/>
          <w:sz w:val="24"/>
          <w:szCs w:val="24"/>
        </w:rPr>
      </w:pPr>
    </w:p>
    <w:p w14:paraId="6AA62C67" w14:textId="04026076" w:rsidR="00FA2B0B" w:rsidRPr="00E52F16" w:rsidRDefault="00FA2B0B" w:rsidP="00FA2B0B">
      <w:pPr>
        <w:spacing w:before="120" w:line="360" w:lineRule="auto"/>
        <w:jc w:val="center"/>
        <w:rPr>
          <w:rFonts w:ascii="Times New Roman" w:hAnsi="Times New Roman" w:cs="Times New Roman"/>
          <w:b/>
          <w:bCs/>
          <w:sz w:val="24"/>
          <w:szCs w:val="24"/>
        </w:rPr>
      </w:pPr>
      <w:r w:rsidRPr="00E52F16">
        <w:rPr>
          <w:rFonts w:ascii="Times New Roman" w:hAnsi="Times New Roman" w:cs="Times New Roman"/>
          <w:b/>
          <w:sz w:val="24"/>
          <w:szCs w:val="24"/>
        </w:rPr>
        <w:t xml:space="preserve">Zautomatyzowany zestaw do chromatografii typu FLASH </w:t>
      </w:r>
      <w:r w:rsidRPr="00E52F16">
        <w:rPr>
          <w:rFonts w:ascii="Times New Roman" w:hAnsi="Times New Roman" w:cs="Times New Roman"/>
          <w:b/>
          <w:bCs/>
          <w:sz w:val="24"/>
          <w:szCs w:val="24"/>
        </w:rPr>
        <w:t>wyposażony w detektory UV-VIS, kolektor frakcji oraz system odzyskiwania rozpuszczalników.</w:t>
      </w:r>
    </w:p>
    <w:p w14:paraId="0CB1B39A" w14:textId="402B4445" w:rsidR="00FA2B0B" w:rsidRPr="00E52F16" w:rsidRDefault="00FA2B0B" w:rsidP="00FA2B0B">
      <w:pPr>
        <w:pStyle w:val="Akapitzlist"/>
        <w:numPr>
          <w:ilvl w:val="0"/>
          <w:numId w:val="17"/>
        </w:numPr>
        <w:spacing w:before="240" w:after="240" w:line="360" w:lineRule="auto"/>
        <w:jc w:val="both"/>
        <w:rPr>
          <w:rFonts w:ascii="Times New Roman" w:hAnsi="Times New Roman" w:cs="Times New Roman"/>
          <w:b/>
          <w:bCs/>
          <w:sz w:val="24"/>
          <w:szCs w:val="24"/>
        </w:rPr>
      </w:pPr>
      <w:r w:rsidRPr="00E52F16">
        <w:rPr>
          <w:rFonts w:ascii="Times New Roman" w:hAnsi="Times New Roman" w:cs="Times New Roman"/>
          <w:b/>
          <w:bCs/>
          <w:sz w:val="24"/>
          <w:szCs w:val="24"/>
        </w:rPr>
        <w:t>Chromatograf Flash</w:t>
      </w:r>
    </w:p>
    <w:p w14:paraId="6342F435"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sz w:val="24"/>
          <w:szCs w:val="24"/>
        </w:rPr>
      </w:pPr>
      <w:bookmarkStart w:id="0" w:name="_Hlk94782837"/>
      <w:r w:rsidRPr="00E52F16">
        <w:rPr>
          <w:rFonts w:ascii="Times New Roman" w:hAnsi="Times New Roman" w:cs="Times New Roman"/>
          <w:b/>
          <w:sz w:val="24"/>
          <w:szCs w:val="24"/>
        </w:rPr>
        <w:t>Układ́ wyposażony w zestaw dwóch pomp do formowania gradientu, spełniający następujące parametry:</w:t>
      </w:r>
    </w:p>
    <w:p w14:paraId="71F437B3" w14:textId="0513DED1" w:rsidR="00FA2B0B" w:rsidRPr="00E52F16" w:rsidRDefault="00FA2B0B" w:rsidP="00FA2B0B">
      <w:pPr>
        <w:pStyle w:val="Akapitzlist"/>
        <w:numPr>
          <w:ilvl w:val="1"/>
          <w:numId w:val="2"/>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 xml:space="preserve">Zakres </w:t>
      </w:r>
      <w:r w:rsidR="00EE05B1" w:rsidRPr="00E52F16">
        <w:rPr>
          <w:rFonts w:ascii="Times New Roman" w:hAnsi="Times New Roman" w:cs="Times New Roman"/>
          <w:bCs/>
          <w:sz w:val="24"/>
          <w:szCs w:val="24"/>
        </w:rPr>
        <w:t>przepływów</w:t>
      </w:r>
      <w:r w:rsidRPr="00E52F16">
        <w:rPr>
          <w:rFonts w:ascii="Times New Roman" w:hAnsi="Times New Roman" w:cs="Times New Roman"/>
          <w:bCs/>
          <w:sz w:val="24"/>
          <w:szCs w:val="24"/>
        </w:rPr>
        <w:t>: nie mniejszy niż od 1 do 300 ml/min.</w:t>
      </w:r>
    </w:p>
    <w:p w14:paraId="4109B1E8" w14:textId="77777777" w:rsidR="00FA2B0B" w:rsidRPr="00E52F16" w:rsidRDefault="00FA2B0B" w:rsidP="00FA2B0B">
      <w:pPr>
        <w:pStyle w:val="Akapitzlist"/>
        <w:numPr>
          <w:ilvl w:val="1"/>
          <w:numId w:val="2"/>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Zakres ciśnień́: nie mniej niż̇ do 20 bar.</w:t>
      </w:r>
    </w:p>
    <w:p w14:paraId="2BFAF011" w14:textId="6657AEB2" w:rsidR="00FA2B0B" w:rsidRPr="00E52F16" w:rsidRDefault="00FA2B0B" w:rsidP="00FA2B0B">
      <w:pPr>
        <w:pStyle w:val="Akapitzlist"/>
        <w:numPr>
          <w:ilvl w:val="1"/>
          <w:numId w:val="2"/>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System pozwalający na budowanie gradientu z dowolnych dwóch, spośród czterech eluentów oraz dodatkowo dozowanie trzeciego eluentu jako modyfikatora fazy ruchomej, w zakresie stężeń nie mniejszym niż od 0.5% do 5%, w systemie izokratycznym.</w:t>
      </w:r>
    </w:p>
    <w:p w14:paraId="54D88D66" w14:textId="1540FBDC"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bCs/>
          <w:sz w:val="24"/>
          <w:szCs w:val="24"/>
        </w:rPr>
      </w:pPr>
      <w:r w:rsidRPr="00E52F16">
        <w:rPr>
          <w:rFonts w:ascii="Times New Roman" w:hAnsi="Times New Roman" w:cs="Times New Roman"/>
          <w:b/>
          <w:bCs/>
          <w:sz w:val="24"/>
          <w:szCs w:val="24"/>
        </w:rPr>
        <w:t xml:space="preserve">Obsługa i bezpieczeństwo: </w:t>
      </w:r>
    </w:p>
    <w:p w14:paraId="12B55800" w14:textId="77777777" w:rsidR="00FA2B0B" w:rsidRPr="00E52F16" w:rsidRDefault="00FA2B0B" w:rsidP="00FA2B0B">
      <w:pPr>
        <w:pStyle w:val="Akapitzlist"/>
        <w:numPr>
          <w:ilvl w:val="1"/>
          <w:numId w:val="4"/>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Wbudowany system kontroli poziomu eluentów, z czujnikami poziomu cieczy w butlach z eluentami, automatycznie wstrzymujący proces w przypadku zejścia poziomu eluentu poniżej poziomu minimalnego</w:t>
      </w:r>
      <w:r w:rsidRPr="00E52F16">
        <w:rPr>
          <w:rFonts w:ascii="Times New Roman" w:hAnsi="Times New Roman" w:cs="Times New Roman"/>
          <w:sz w:val="24"/>
          <w:szCs w:val="24"/>
        </w:rPr>
        <w:t>. System nie wymaga kalibracji ani specjalnych naczyń ze strony użytkownika</w:t>
      </w:r>
    </w:p>
    <w:p w14:paraId="51FDB896" w14:textId="77777777" w:rsidR="00FA2B0B" w:rsidRPr="00E52F16" w:rsidRDefault="00FA2B0B" w:rsidP="00FA2B0B">
      <w:pPr>
        <w:pStyle w:val="Akapitzlist"/>
        <w:numPr>
          <w:ilvl w:val="1"/>
          <w:numId w:val="4"/>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 xml:space="preserve">Wbudowany system kontroli poziomu zlewek, z czujnikiem poziomu cieczy w butli zbierającej, automatycznie wstrzymujący proces w przypadku przekroczenia poziomu zlewek powyżej poziomu zadanego jako maksymalny. </w:t>
      </w:r>
      <w:r w:rsidRPr="00E52F16">
        <w:rPr>
          <w:rFonts w:ascii="Times New Roman" w:hAnsi="Times New Roman" w:cs="Times New Roman"/>
          <w:sz w:val="24"/>
          <w:szCs w:val="24"/>
        </w:rPr>
        <w:t>System nie wymaga kalibracji ani specjalnych naczyń ze strony użytkownika</w:t>
      </w:r>
    </w:p>
    <w:p w14:paraId="0D9F425D" w14:textId="77777777" w:rsidR="00FA2B0B" w:rsidRPr="00E52F16" w:rsidRDefault="00FA2B0B" w:rsidP="00FA2B0B">
      <w:pPr>
        <w:pStyle w:val="Akapitzlist"/>
        <w:numPr>
          <w:ilvl w:val="1"/>
          <w:numId w:val="4"/>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Wbudowane systemy bezpieczeństwa, między innymi: monitorowanie poziomu ciśnienia, czujnik poziomu oparów z określeniem przez użytkownika progu alarmu i z detektorem rejestrującym jakikolwiek przeciek.</w:t>
      </w:r>
    </w:p>
    <w:p w14:paraId="31C1A488" w14:textId="77777777" w:rsidR="00FA2B0B" w:rsidRPr="00E52F16" w:rsidRDefault="00FA2B0B" w:rsidP="00FA2B0B">
      <w:pPr>
        <w:pStyle w:val="Akapitzlist"/>
        <w:numPr>
          <w:ilvl w:val="1"/>
          <w:numId w:val="4"/>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Automatyczne rozpoznawanie kolumn w systemie RFID.</w:t>
      </w:r>
    </w:p>
    <w:p w14:paraId="6CD1B877" w14:textId="4A66CC13"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bCs/>
          <w:sz w:val="24"/>
          <w:szCs w:val="24"/>
        </w:rPr>
      </w:pPr>
      <w:r w:rsidRPr="00E52F16">
        <w:rPr>
          <w:rFonts w:ascii="Times New Roman" w:hAnsi="Times New Roman" w:cs="Times New Roman"/>
          <w:b/>
          <w:bCs/>
          <w:sz w:val="24"/>
          <w:szCs w:val="24"/>
        </w:rPr>
        <w:t>Zawór spełni</w:t>
      </w:r>
      <w:r w:rsidR="003B1D60">
        <w:rPr>
          <w:rFonts w:ascii="Times New Roman" w:hAnsi="Times New Roman" w:cs="Times New Roman"/>
          <w:b/>
          <w:bCs/>
          <w:sz w:val="24"/>
          <w:szCs w:val="24"/>
        </w:rPr>
        <w:t>a</w:t>
      </w:r>
      <w:r w:rsidRPr="00E52F16">
        <w:rPr>
          <w:rFonts w:ascii="Times New Roman" w:hAnsi="Times New Roman" w:cs="Times New Roman"/>
          <w:b/>
          <w:bCs/>
          <w:sz w:val="24"/>
          <w:szCs w:val="24"/>
        </w:rPr>
        <w:t>jący następujące parametry:</w:t>
      </w:r>
    </w:p>
    <w:p w14:paraId="449E9CE0" w14:textId="77777777" w:rsidR="00FA2B0B" w:rsidRPr="00E52F16" w:rsidRDefault="00FA2B0B" w:rsidP="00FA2B0B">
      <w:pPr>
        <w:pStyle w:val="Akapitzlist"/>
        <w:numPr>
          <w:ilvl w:val="1"/>
          <w:numId w:val="5"/>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
          <w:bCs/>
          <w:sz w:val="24"/>
          <w:szCs w:val="24"/>
        </w:rPr>
      </w:pPr>
      <w:r w:rsidRPr="00E52F16">
        <w:rPr>
          <w:rFonts w:ascii="Times New Roman" w:hAnsi="Times New Roman" w:cs="Times New Roman"/>
          <w:sz w:val="24"/>
          <w:szCs w:val="24"/>
        </w:rPr>
        <w:t>Automatycznie przełączający się w wymaganą pozycję zawór do nastrzyków.</w:t>
      </w:r>
    </w:p>
    <w:p w14:paraId="13F509BB" w14:textId="77777777" w:rsidR="00FA2B0B" w:rsidRPr="00E52F16" w:rsidRDefault="00FA2B0B" w:rsidP="00FA2B0B">
      <w:pPr>
        <w:pStyle w:val="Akapitzlist"/>
        <w:numPr>
          <w:ilvl w:val="1"/>
          <w:numId w:val="5"/>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
          <w:bCs/>
          <w:sz w:val="24"/>
          <w:szCs w:val="24"/>
        </w:rPr>
      </w:pPr>
      <w:r w:rsidRPr="00E52F16">
        <w:rPr>
          <w:rFonts w:ascii="Times New Roman" w:hAnsi="Times New Roman" w:cs="Times New Roman"/>
          <w:sz w:val="24"/>
          <w:szCs w:val="24"/>
        </w:rPr>
        <w:t>Automatycznie samoczyszczący się.</w:t>
      </w:r>
    </w:p>
    <w:p w14:paraId="4D5AD3F5" w14:textId="77777777" w:rsidR="00342425" w:rsidRPr="00E52F16" w:rsidRDefault="00342425" w:rsidP="00342425">
      <w:pPr>
        <w:pStyle w:val="Akapitzlist"/>
        <w:suppressAutoHyphens/>
        <w:autoSpaceDN w:val="0"/>
        <w:spacing w:beforeLines="1" w:before="2" w:afterLines="1" w:after="2" w:line="360" w:lineRule="auto"/>
        <w:ind w:left="851"/>
        <w:contextualSpacing w:val="0"/>
        <w:jc w:val="both"/>
        <w:textAlignment w:val="baseline"/>
        <w:rPr>
          <w:rFonts w:ascii="Times New Roman" w:hAnsi="Times New Roman" w:cs="Times New Roman"/>
          <w:b/>
          <w:bCs/>
          <w:sz w:val="24"/>
          <w:szCs w:val="24"/>
        </w:rPr>
      </w:pPr>
    </w:p>
    <w:p w14:paraId="0900C27E" w14:textId="77777777" w:rsidR="002814CE" w:rsidRPr="00E52F16" w:rsidRDefault="002814CE" w:rsidP="00342425">
      <w:pPr>
        <w:pStyle w:val="Akapitzlist"/>
        <w:suppressAutoHyphens/>
        <w:autoSpaceDN w:val="0"/>
        <w:spacing w:beforeLines="1" w:before="2" w:afterLines="1" w:after="2" w:line="360" w:lineRule="auto"/>
        <w:ind w:left="851"/>
        <w:contextualSpacing w:val="0"/>
        <w:jc w:val="both"/>
        <w:textAlignment w:val="baseline"/>
        <w:rPr>
          <w:rFonts w:ascii="Times New Roman" w:hAnsi="Times New Roman" w:cs="Times New Roman"/>
          <w:b/>
          <w:bCs/>
          <w:sz w:val="24"/>
          <w:szCs w:val="24"/>
        </w:rPr>
      </w:pPr>
    </w:p>
    <w:p w14:paraId="3A8301EE"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bCs/>
          <w:sz w:val="24"/>
          <w:szCs w:val="24"/>
        </w:rPr>
      </w:pPr>
      <w:r w:rsidRPr="00E52F16">
        <w:rPr>
          <w:rFonts w:ascii="Times New Roman" w:hAnsi="Times New Roman" w:cs="Times New Roman"/>
          <w:b/>
          <w:bCs/>
          <w:sz w:val="24"/>
          <w:szCs w:val="24"/>
        </w:rPr>
        <w:t>Kolektor</w:t>
      </w:r>
      <w:r w:rsidRPr="00E52F16">
        <w:rPr>
          <w:rFonts w:ascii="Times New Roman" w:hAnsi="Times New Roman" w:cs="Times New Roman"/>
          <w:sz w:val="24"/>
          <w:szCs w:val="24"/>
        </w:rPr>
        <w:t xml:space="preserve"> </w:t>
      </w:r>
      <w:r w:rsidRPr="00E52F16">
        <w:rPr>
          <w:rFonts w:ascii="Times New Roman" w:hAnsi="Times New Roman" w:cs="Times New Roman"/>
          <w:b/>
          <w:bCs/>
          <w:sz w:val="24"/>
          <w:szCs w:val="24"/>
        </w:rPr>
        <w:t>Frakcji spełanijący następujące parametry:</w:t>
      </w:r>
      <w:r w:rsidRPr="00E52F16">
        <w:rPr>
          <w:rFonts w:ascii="Times New Roman" w:hAnsi="Times New Roman" w:cs="Times New Roman"/>
          <w:sz w:val="24"/>
          <w:szCs w:val="24"/>
        </w:rPr>
        <w:t xml:space="preserve"> </w:t>
      </w:r>
    </w:p>
    <w:p w14:paraId="4EEDEDBD" w14:textId="77777777" w:rsidR="00FA2B0B" w:rsidRPr="00E52F16" w:rsidRDefault="00FA2B0B" w:rsidP="00FA2B0B">
      <w:pPr>
        <w:pStyle w:val="Akapitzlist"/>
        <w:numPr>
          <w:ilvl w:val="1"/>
          <w:numId w:val="6"/>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
          <w:bCs/>
          <w:sz w:val="24"/>
          <w:szCs w:val="24"/>
        </w:rPr>
      </w:pPr>
      <w:r w:rsidRPr="00E52F16">
        <w:rPr>
          <w:rFonts w:ascii="Times New Roman" w:hAnsi="Times New Roman" w:cs="Times New Roman"/>
          <w:sz w:val="24"/>
          <w:szCs w:val="24"/>
        </w:rPr>
        <w:t>Możliwość zautomatyzowanej współpracy kolektora frakcji ze statywami automatycznie rozpoznawanymi przez system;</w:t>
      </w:r>
    </w:p>
    <w:p w14:paraId="18C6432E" w14:textId="77777777" w:rsidR="00FA2B0B" w:rsidRPr="00E52F16" w:rsidRDefault="00FA2B0B" w:rsidP="00FA2B0B">
      <w:pPr>
        <w:pStyle w:val="Akapitzlist"/>
        <w:numPr>
          <w:ilvl w:val="1"/>
          <w:numId w:val="6"/>
        </w:numPr>
        <w:suppressAutoHyphens/>
        <w:autoSpaceDN w:val="0"/>
        <w:spacing w:beforeLines="1" w:before="2" w:afterLines="1" w:after="2" w:line="360" w:lineRule="auto"/>
        <w:ind w:left="851"/>
        <w:jc w:val="both"/>
        <w:textAlignment w:val="baseline"/>
        <w:rPr>
          <w:rFonts w:ascii="Times New Roman" w:hAnsi="Times New Roman" w:cs="Times New Roman"/>
          <w:sz w:val="24"/>
          <w:szCs w:val="24"/>
        </w:rPr>
      </w:pPr>
      <w:r w:rsidRPr="00E52F16">
        <w:rPr>
          <w:rFonts w:ascii="Times New Roman" w:hAnsi="Times New Roman" w:cs="Times New Roman"/>
          <w:sz w:val="24"/>
          <w:szCs w:val="24"/>
        </w:rPr>
        <w:t>Dwa statywy z minimum 75 miejscami (na każdy statyw) na probówki 16x150 mm z RFID. Probówki w ilości równej miejsc na probówki stojaków dostarczone wraz ze stojakami.</w:t>
      </w:r>
    </w:p>
    <w:p w14:paraId="090BF52F" w14:textId="77777777" w:rsidR="00FA2B0B" w:rsidRPr="00E52F16" w:rsidRDefault="00FA2B0B" w:rsidP="00FA2B0B">
      <w:pPr>
        <w:pStyle w:val="Akapitzlist"/>
        <w:numPr>
          <w:ilvl w:val="1"/>
          <w:numId w:val="6"/>
        </w:numPr>
        <w:suppressAutoHyphens/>
        <w:autoSpaceDN w:val="0"/>
        <w:spacing w:beforeLines="1" w:before="2" w:afterLines="1" w:after="2" w:line="360" w:lineRule="auto"/>
        <w:ind w:left="851"/>
        <w:jc w:val="both"/>
        <w:textAlignment w:val="baseline"/>
        <w:rPr>
          <w:rFonts w:ascii="Times New Roman" w:hAnsi="Times New Roman" w:cs="Times New Roman"/>
          <w:sz w:val="24"/>
          <w:szCs w:val="24"/>
        </w:rPr>
      </w:pPr>
      <w:r w:rsidRPr="00E52F16">
        <w:rPr>
          <w:rFonts w:ascii="Times New Roman" w:hAnsi="Times New Roman" w:cs="Times New Roman"/>
          <w:sz w:val="24"/>
          <w:szCs w:val="24"/>
        </w:rPr>
        <w:t>Dwa statywy z minimum 30 miejscami (na każdy statyw) na probówki 25x150 mm z RFID. Probówki w ilości równej miejsc na probówki stojaków dostarczone wraz ze stojakami.</w:t>
      </w:r>
    </w:p>
    <w:p w14:paraId="2AC9CBC4" w14:textId="77777777" w:rsidR="00FA2B0B" w:rsidRPr="00E52F16" w:rsidRDefault="00FA2B0B" w:rsidP="00FA2B0B">
      <w:pPr>
        <w:pStyle w:val="Akapitzlist"/>
        <w:numPr>
          <w:ilvl w:val="1"/>
          <w:numId w:val="6"/>
        </w:numPr>
        <w:suppressAutoHyphens/>
        <w:autoSpaceDN w:val="0"/>
        <w:spacing w:beforeLines="1" w:before="2" w:afterLines="1" w:after="2" w:line="360" w:lineRule="auto"/>
        <w:ind w:left="851"/>
        <w:jc w:val="both"/>
        <w:textAlignment w:val="baseline"/>
        <w:rPr>
          <w:rFonts w:ascii="Times New Roman" w:hAnsi="Times New Roman" w:cs="Times New Roman"/>
          <w:sz w:val="24"/>
          <w:szCs w:val="24"/>
        </w:rPr>
      </w:pPr>
      <w:r w:rsidRPr="00E52F16">
        <w:rPr>
          <w:rFonts w:ascii="Times New Roman" w:hAnsi="Times New Roman" w:cs="Times New Roman"/>
          <w:sz w:val="24"/>
          <w:szCs w:val="24"/>
        </w:rPr>
        <w:t>Dwa statywy z minimum 108 miejscami (na każdy statyw) na probówki 13x100 mm z RFID. Probówki w ilości równej miejsc na probówki stojaków dostarczone wraz ze stojakami.</w:t>
      </w:r>
    </w:p>
    <w:p w14:paraId="1A9AE0D1" w14:textId="337169CF"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sz w:val="24"/>
          <w:szCs w:val="24"/>
          <w:lang w:eastAsia="pl-PL"/>
        </w:rPr>
      </w:pPr>
      <w:r w:rsidRPr="00E52F16">
        <w:rPr>
          <w:rFonts w:ascii="Times New Roman" w:hAnsi="Times New Roman" w:cs="Times New Roman"/>
          <w:b/>
          <w:bCs/>
          <w:sz w:val="24"/>
          <w:szCs w:val="24"/>
        </w:rPr>
        <w:t>Detektor spełniający następujące parametry</w:t>
      </w:r>
      <w:r w:rsidRPr="00E52F16">
        <w:rPr>
          <w:rFonts w:ascii="Times New Roman" w:hAnsi="Times New Roman" w:cs="Times New Roman"/>
          <w:b/>
          <w:bCs/>
          <w:sz w:val="24"/>
          <w:szCs w:val="24"/>
          <w:lang w:eastAsia="pl-PL"/>
        </w:rPr>
        <w:t>:</w:t>
      </w:r>
      <w:r w:rsidRPr="00E52F16">
        <w:rPr>
          <w:rFonts w:ascii="Times New Roman" w:hAnsi="Times New Roman" w:cs="Times New Roman"/>
          <w:bCs/>
          <w:sz w:val="24"/>
          <w:szCs w:val="24"/>
          <w:lang w:eastAsia="pl-PL"/>
        </w:rPr>
        <w:t xml:space="preserve"> </w:t>
      </w:r>
    </w:p>
    <w:p w14:paraId="42AF77C2" w14:textId="77777777" w:rsidR="00FA2B0B" w:rsidRPr="00E52F16" w:rsidRDefault="00FA2B0B" w:rsidP="00FA2B0B">
      <w:pPr>
        <w:pStyle w:val="Akapitzlist"/>
        <w:numPr>
          <w:ilvl w:val="1"/>
          <w:numId w:val="7"/>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sz w:val="24"/>
          <w:szCs w:val="24"/>
          <w:lang w:eastAsia="pl-PL"/>
        </w:rPr>
      </w:pPr>
      <w:r w:rsidRPr="00E52F16">
        <w:rPr>
          <w:rFonts w:ascii="Times New Roman" w:hAnsi="Times New Roman" w:cs="Times New Roman"/>
          <w:sz w:val="24"/>
          <w:szCs w:val="24"/>
        </w:rPr>
        <w:t>Wbudowany</w:t>
      </w:r>
      <w:r w:rsidRPr="00E52F16">
        <w:rPr>
          <w:rFonts w:ascii="Times New Roman" w:hAnsi="Times New Roman" w:cs="Times New Roman"/>
          <w:bCs/>
          <w:sz w:val="24"/>
          <w:szCs w:val="24"/>
          <w:lang w:eastAsia="pl-PL"/>
        </w:rPr>
        <w:t xml:space="preserve"> detektor UV-Vis z zakresem nie mniejszym niż 200 – 800 nm typu PDA, </w:t>
      </w:r>
      <w:r w:rsidRPr="00E52F16">
        <w:rPr>
          <w:rFonts w:ascii="Times New Roman" w:hAnsi="Times New Roman" w:cs="Times New Roman"/>
          <w:sz w:val="24"/>
          <w:szCs w:val="24"/>
          <w:lang w:eastAsia="pl-PL"/>
        </w:rPr>
        <w:t>ze zmienną długością fali, detektor co najmniej 2-kanałowy, zapewniający jednocześnie rejestrację chromatogramów dla co najmniej dwóch dowolnie zdefiniowanych długości fali pracujący w zakresie do minimum 4AU.</w:t>
      </w:r>
    </w:p>
    <w:p w14:paraId="60923267" w14:textId="77777777" w:rsidR="00FA2B0B" w:rsidRPr="00E52F16" w:rsidRDefault="00FA2B0B" w:rsidP="00FA2B0B">
      <w:pPr>
        <w:pStyle w:val="Akapitzlist"/>
        <w:numPr>
          <w:ilvl w:val="1"/>
          <w:numId w:val="7"/>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sz w:val="24"/>
          <w:szCs w:val="24"/>
          <w:lang w:eastAsia="pl-PL"/>
        </w:rPr>
      </w:pPr>
      <w:r w:rsidRPr="00E52F16">
        <w:rPr>
          <w:rFonts w:ascii="Times New Roman" w:hAnsi="Times New Roman" w:cs="Times New Roman"/>
          <w:bCs/>
          <w:sz w:val="24"/>
          <w:szCs w:val="24"/>
          <w:lang w:eastAsia="pl-PL"/>
        </w:rPr>
        <w:t>Możliwość rozbudowy o detektor MS bez ingerencji w system.</w:t>
      </w:r>
    </w:p>
    <w:p w14:paraId="63A48CF5" w14:textId="77777777" w:rsidR="00FA2B0B" w:rsidRPr="00E52F16" w:rsidRDefault="00FA2B0B" w:rsidP="00FA2B0B">
      <w:pPr>
        <w:pStyle w:val="Akapitzlist"/>
        <w:numPr>
          <w:ilvl w:val="1"/>
          <w:numId w:val="7"/>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sz w:val="24"/>
          <w:szCs w:val="24"/>
          <w:lang w:eastAsia="pl-PL"/>
        </w:rPr>
      </w:pPr>
      <w:r w:rsidRPr="00E52F16">
        <w:rPr>
          <w:rFonts w:ascii="Times New Roman" w:hAnsi="Times New Roman" w:cs="Times New Roman"/>
          <w:sz w:val="24"/>
          <w:szCs w:val="24"/>
          <w:lang w:eastAsia="pl-PL"/>
        </w:rPr>
        <w:t>Możliwość rozbudowy o wbudowany detektor ELSD (opcja wolnostojąca jest niedopuszczalna) z płynnym sterowaniem temperaturą komory reakcyjnej w zakresie nie węższym niż od 10⁰C do 60⁰C, i kanału transferowego od 30⁰C do 90⁰C, kontrolowany z poziomu oprogramowania chromatografu ze zbieraniem frakcji w funkcji rejestrowanego sygnału</w:t>
      </w:r>
    </w:p>
    <w:p w14:paraId="3AC0704A" w14:textId="77777777" w:rsidR="00FA2B0B" w:rsidRPr="00E52F16" w:rsidRDefault="00FA2B0B" w:rsidP="00FA2B0B">
      <w:pPr>
        <w:pStyle w:val="Akapitzlist"/>
        <w:numPr>
          <w:ilvl w:val="1"/>
          <w:numId w:val="7"/>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sz w:val="24"/>
          <w:szCs w:val="24"/>
          <w:lang w:eastAsia="pl-PL"/>
        </w:rPr>
      </w:pPr>
      <w:r w:rsidRPr="00E52F16">
        <w:rPr>
          <w:rFonts w:ascii="Times New Roman" w:hAnsi="Times New Roman" w:cs="Times New Roman"/>
          <w:bCs/>
          <w:sz w:val="24"/>
          <w:szCs w:val="24"/>
          <w:lang w:eastAsia="pl-PL"/>
        </w:rPr>
        <w:t>Funkcja korekcji linii bazowej na podstawie rejestracji absorbcji dla całego zakresu gradientu przez wykonaniem rozdziału.</w:t>
      </w:r>
    </w:p>
    <w:p w14:paraId="03A0A632" w14:textId="77777777" w:rsidR="00FA2B0B" w:rsidRPr="00E52F16" w:rsidRDefault="00FA2B0B" w:rsidP="00FA2B0B">
      <w:pPr>
        <w:pStyle w:val="Akapitzlist"/>
        <w:spacing w:line="360" w:lineRule="auto"/>
        <w:ind w:left="1440"/>
        <w:rPr>
          <w:rFonts w:ascii="Times New Roman" w:eastAsia="Times New Roman" w:hAnsi="Times New Roman" w:cs="Times New Roman"/>
          <w:bCs/>
          <w:color w:val="000000" w:themeColor="text1"/>
          <w:sz w:val="24"/>
          <w:szCs w:val="24"/>
          <w:lang w:eastAsia="pl-PL"/>
        </w:rPr>
      </w:pPr>
    </w:p>
    <w:p w14:paraId="45148170" w14:textId="5E38C5C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bCs/>
          <w:sz w:val="24"/>
          <w:szCs w:val="24"/>
        </w:rPr>
      </w:pPr>
      <w:r w:rsidRPr="00E52F16">
        <w:rPr>
          <w:rFonts w:ascii="Times New Roman" w:hAnsi="Times New Roman" w:cs="Times New Roman"/>
          <w:b/>
          <w:bCs/>
          <w:sz w:val="24"/>
          <w:szCs w:val="24"/>
        </w:rPr>
        <w:t>Kolumny spełniające następujące parametry</w:t>
      </w:r>
      <w:r w:rsidRPr="00E52F16">
        <w:rPr>
          <w:rFonts w:ascii="Times New Roman" w:hAnsi="Times New Roman" w:cs="Times New Roman"/>
          <w:sz w:val="24"/>
          <w:szCs w:val="24"/>
        </w:rPr>
        <w:t xml:space="preserve">: </w:t>
      </w:r>
    </w:p>
    <w:p w14:paraId="3EB68526" w14:textId="77777777" w:rsidR="00FA2B0B" w:rsidRPr="00E52F16" w:rsidRDefault="00FA2B0B" w:rsidP="00FA2B0B">
      <w:pPr>
        <w:pStyle w:val="Akapitzlist"/>
        <w:numPr>
          <w:ilvl w:val="1"/>
          <w:numId w:val="8"/>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
          <w:bCs/>
          <w:sz w:val="24"/>
          <w:szCs w:val="24"/>
        </w:rPr>
      </w:pPr>
      <w:r w:rsidRPr="00E52F16">
        <w:rPr>
          <w:rFonts w:ascii="Times New Roman" w:hAnsi="Times New Roman" w:cs="Times New Roman"/>
          <w:sz w:val="24"/>
          <w:szCs w:val="24"/>
        </w:rPr>
        <w:t>Możliwość pracy z kolumnami od 4 g do 750 g i adapterem dla kolumn do 3 kg.</w:t>
      </w:r>
    </w:p>
    <w:p w14:paraId="7B1EC603"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bCs/>
          <w:sz w:val="24"/>
          <w:szCs w:val="24"/>
        </w:rPr>
      </w:pPr>
      <w:r w:rsidRPr="00E52F16">
        <w:rPr>
          <w:rFonts w:ascii="Times New Roman" w:hAnsi="Times New Roman" w:cs="Times New Roman"/>
          <w:b/>
          <w:bCs/>
          <w:sz w:val="24"/>
          <w:szCs w:val="24"/>
        </w:rPr>
        <w:t xml:space="preserve">Funkcje systemu spełniające następujące parametry: </w:t>
      </w:r>
    </w:p>
    <w:p w14:paraId="669F5EAB" w14:textId="77777777" w:rsidR="00FA2B0B" w:rsidRPr="00E52F16" w:rsidRDefault="00FA2B0B" w:rsidP="00FA2B0B">
      <w:pPr>
        <w:pStyle w:val="Akapitzlist"/>
        <w:numPr>
          <w:ilvl w:val="1"/>
          <w:numId w:val="9"/>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Możliwość wpisania wyniku rozdziału z dwóch płytek TLC, na tej podstawie system proponuje optymalnie dobrany gradient do podziału próbki.</w:t>
      </w:r>
    </w:p>
    <w:p w14:paraId="0AFFB073" w14:textId="77777777" w:rsidR="00FA2B0B" w:rsidRPr="00E52F16" w:rsidRDefault="00FA2B0B" w:rsidP="00FA2B0B">
      <w:pPr>
        <w:pStyle w:val="Akapitzlist"/>
        <w:numPr>
          <w:ilvl w:val="1"/>
          <w:numId w:val="9"/>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lastRenderedPageBreak/>
        <w:t>System chromatografii flash musi posiadać wbudowaną funkcję oprogramowania umożliwiającą optymalizację gradientu na podstawie pojedynczego skanowania (chromatogram uzyskany dla nastrzyku testowego próbki dla danej kolumny). Funkcja ta powinna pozwalać na skupienie gradientu wokół interesujących pików, redukcję zużycia rozpuszczalników i ilości odpadów oraz być uniwersalna dla dowolnej fazy stacjonarnej stosowanej w chromatografii, co eliminuje konieczność stosowania niedostępnych płytek cienkowarstwowych. Oprogramowanie musi umożliwiać wybór kolumny i rodzaju załadunku próbki oraz wygenerowanie zoptymalizowanej metody gradientowej bez wielokrotnych eksperymentów.</w:t>
      </w:r>
    </w:p>
    <w:p w14:paraId="0E20D597" w14:textId="77777777" w:rsidR="00FA2B0B" w:rsidRPr="00E52F16" w:rsidRDefault="00FA2B0B" w:rsidP="00FA2B0B">
      <w:pPr>
        <w:pStyle w:val="Akapitzlist"/>
        <w:numPr>
          <w:ilvl w:val="1"/>
          <w:numId w:val="9"/>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Możliwość naniesienia próbki ciekłej lub stałej.</w:t>
      </w:r>
    </w:p>
    <w:p w14:paraId="1CAEC2F8" w14:textId="77777777" w:rsidR="00FA2B0B" w:rsidRPr="00E52F16" w:rsidRDefault="00FA2B0B" w:rsidP="00FA2B0B">
      <w:pPr>
        <w:pStyle w:val="Akapitzlist"/>
        <w:numPr>
          <w:ilvl w:val="1"/>
          <w:numId w:val="9"/>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Możliwość niezależnego kondycjonowania kolumny i loadera bez konieczności jego demontażu.</w:t>
      </w:r>
    </w:p>
    <w:p w14:paraId="777A7803" w14:textId="77777777" w:rsidR="00FA2B0B" w:rsidRPr="00E52F16" w:rsidRDefault="00FA2B0B" w:rsidP="00FA2B0B">
      <w:pPr>
        <w:pStyle w:val="Akapitzlist"/>
        <w:numPr>
          <w:ilvl w:val="1"/>
          <w:numId w:val="9"/>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Możliwość automatycznego mycia i przedmuchu kolumny po rozdziale. Oprogramowanie umożliwiające wprowadzenie zmian we wszystkich zadanych parametrach w czasie rzeczywistym w każdym momencie procesu.</w:t>
      </w:r>
    </w:p>
    <w:p w14:paraId="305AF5B7" w14:textId="77777777" w:rsidR="00FA2B0B" w:rsidRPr="00E52F16" w:rsidRDefault="00FA2B0B" w:rsidP="00FA2B0B">
      <w:pPr>
        <w:pStyle w:val="Akapitzlist"/>
        <w:numPr>
          <w:ilvl w:val="1"/>
          <w:numId w:val="9"/>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Monitorowanie w czasie rzeczywistym zbieranych sygnałów z detektorów oraz warunków procesu.</w:t>
      </w:r>
    </w:p>
    <w:p w14:paraId="2C91333D"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bCs/>
          <w:sz w:val="24"/>
          <w:szCs w:val="24"/>
        </w:rPr>
      </w:pPr>
      <w:r w:rsidRPr="00E52F16">
        <w:rPr>
          <w:rFonts w:ascii="Times New Roman" w:hAnsi="Times New Roman" w:cs="Times New Roman"/>
          <w:b/>
          <w:bCs/>
          <w:sz w:val="24"/>
          <w:szCs w:val="24"/>
        </w:rPr>
        <w:t>Ekran spełniający następujące parametry</w:t>
      </w:r>
      <w:r w:rsidRPr="00E52F16">
        <w:rPr>
          <w:rFonts w:ascii="Times New Roman" w:hAnsi="Times New Roman" w:cs="Times New Roman"/>
          <w:sz w:val="24"/>
          <w:szCs w:val="24"/>
        </w:rPr>
        <w:t xml:space="preserve">: </w:t>
      </w:r>
    </w:p>
    <w:p w14:paraId="5967891E" w14:textId="77777777" w:rsidR="00FA2B0B" w:rsidRPr="00E52F16" w:rsidRDefault="00FA2B0B" w:rsidP="00FA2B0B">
      <w:pPr>
        <w:pStyle w:val="Akapitzlist"/>
        <w:numPr>
          <w:ilvl w:val="1"/>
          <w:numId w:val="3"/>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
          <w:bCs/>
          <w:sz w:val="24"/>
          <w:szCs w:val="24"/>
        </w:rPr>
      </w:pPr>
      <w:r w:rsidRPr="00E52F16">
        <w:rPr>
          <w:rFonts w:ascii="Times New Roman" w:hAnsi="Times New Roman" w:cs="Times New Roman"/>
          <w:bCs/>
          <w:sz w:val="24"/>
          <w:szCs w:val="24"/>
        </w:rPr>
        <w:t>Wbudowany</w:t>
      </w:r>
      <w:r w:rsidRPr="00E52F16">
        <w:rPr>
          <w:rFonts w:ascii="Times New Roman" w:hAnsi="Times New Roman" w:cs="Times New Roman"/>
          <w:sz w:val="24"/>
          <w:szCs w:val="24"/>
        </w:rPr>
        <w:t xml:space="preserve"> ekran dotykowy o przekątnej minimum 12”.</w:t>
      </w:r>
    </w:p>
    <w:p w14:paraId="74043B8E"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bCs/>
          <w:sz w:val="24"/>
          <w:szCs w:val="24"/>
        </w:rPr>
      </w:pPr>
      <w:r w:rsidRPr="00E52F16">
        <w:rPr>
          <w:rFonts w:ascii="Times New Roman" w:hAnsi="Times New Roman" w:cs="Times New Roman"/>
          <w:b/>
          <w:bCs/>
          <w:sz w:val="24"/>
          <w:szCs w:val="24"/>
        </w:rPr>
        <w:t>Oprogramowanie</w:t>
      </w:r>
      <w:r w:rsidRPr="00E52F16">
        <w:rPr>
          <w:rFonts w:ascii="Times New Roman" w:hAnsi="Times New Roman" w:cs="Times New Roman"/>
          <w:sz w:val="24"/>
          <w:szCs w:val="24"/>
        </w:rPr>
        <w:t xml:space="preserve"> </w:t>
      </w:r>
      <w:r w:rsidRPr="00E52F16">
        <w:rPr>
          <w:rFonts w:ascii="Times New Roman" w:hAnsi="Times New Roman" w:cs="Times New Roman"/>
          <w:b/>
          <w:bCs/>
          <w:sz w:val="24"/>
          <w:szCs w:val="24"/>
        </w:rPr>
        <w:t>spełniające następujące parametry</w:t>
      </w:r>
      <w:r w:rsidRPr="00E52F16">
        <w:rPr>
          <w:rFonts w:ascii="Times New Roman" w:hAnsi="Times New Roman" w:cs="Times New Roman"/>
          <w:sz w:val="24"/>
          <w:szCs w:val="24"/>
        </w:rPr>
        <w:t>:</w:t>
      </w:r>
    </w:p>
    <w:p w14:paraId="616DB9DC"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Zbieranie frakcji przy: dowolnie zadanej długości jednej fali, dowolnie zadanych długościach dwóch fal, dowolnie zadanej długości jednej fali i przy przemiataniu całego, zakresu lub wybranego zakresu fal, dowolnie zadanych długościach dwóch fal i przy przemiataniu całego zakresu lub wybranego zakresu fal (przy przemiataniu całego zakresu lub wybranego zakresu fal).</w:t>
      </w:r>
    </w:p>
    <w:p w14:paraId="49800FC1"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Podgląd widma UVVis w czasie rzeczywistym i po nastrzyku.</w:t>
      </w:r>
    </w:p>
    <w:p w14:paraId="50E928FE"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Możliwość zbierania dowolnej objętości frakcji z całej szerokości piku lub jego fragmentu. Możliwość przesyłania całego zbieranego produktu do zlewek. Możliwość zbierania całego produktu przez kolektor frakcji z automatycznym przejściem do kolejnej probówki w momencie pojawienia się piku.</w:t>
      </w:r>
    </w:p>
    <w:p w14:paraId="1BD675DD"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Oprogramowanie pozwalające na zbieranie frakcji na podstawie szybkości narastania rejestrowanej krzywej sygnału z detektora lub przekroczenia zadanego progu.</w:t>
      </w:r>
    </w:p>
    <w:p w14:paraId="0D744DBE"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Możliwość wprowadzenia hasła dostępu, kont użytkowników o różnym dostępie.</w:t>
      </w:r>
    </w:p>
    <w:p w14:paraId="41D73D2D"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lastRenderedPageBreak/>
        <w:t>Tryby pracy: izokratyczny z możliwościami łączenia eluentów, gradient krokowy, gradient liniowy.</w:t>
      </w:r>
    </w:p>
    <w:p w14:paraId="7952C84D"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Automatyczne zapisywanie na dysk w sieci wewnętrznej.</w:t>
      </w:r>
    </w:p>
    <w:p w14:paraId="77DB33D2"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Funkcja manualnego wymuszenia przejścia zbieranej frakcji do kolejnego zbiornika, do kolejnego kroku planu, do zakończenia procesu.</w:t>
      </w:r>
    </w:p>
    <w:p w14:paraId="2F5FF740"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Automatyczne skalowanie metod dla mniejszych lub większych rozmiarów kolumn.</w:t>
      </w:r>
    </w:p>
    <w:p w14:paraId="0F9D24C0"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Możliwość wydruku i eksportu danych do środowiska Windows lub równoważnym.</w:t>
      </w:r>
    </w:p>
    <w:p w14:paraId="1A978CB4" w14:textId="77777777" w:rsidR="00FA2B0B" w:rsidRPr="00E52F16" w:rsidRDefault="00FA2B0B" w:rsidP="00FA2B0B">
      <w:pPr>
        <w:pStyle w:val="Akapitzlist"/>
        <w:numPr>
          <w:ilvl w:val="1"/>
          <w:numId w:val="10"/>
        </w:numPr>
        <w:tabs>
          <w:tab w:val="left" w:pos="426"/>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Możliwość zdalnego sterowania przez kilka urządzeń zewnętrznych typu laptop lub równoważne urządzenie jednocześnie.</w:t>
      </w:r>
    </w:p>
    <w:p w14:paraId="42FD9CA6"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sz w:val="24"/>
          <w:szCs w:val="24"/>
        </w:rPr>
      </w:pPr>
      <w:r w:rsidRPr="00E52F16">
        <w:rPr>
          <w:rFonts w:ascii="Times New Roman" w:hAnsi="Times New Roman" w:cs="Times New Roman"/>
          <w:sz w:val="24"/>
          <w:szCs w:val="24"/>
        </w:rPr>
        <w:t>Oprzyrządowanie dedykowane pracy na chromatografie Flash spełniające następujące parametry:</w:t>
      </w:r>
    </w:p>
    <w:p w14:paraId="166F5C2E"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Zestaw do nastrzyku suchej próbki naniesionej na krzemionkę lub inny materiał (preloading) z kardridżem do 25 g (nakręcana na kardridż 25 g aluminiowa głowica, adapter dla kardridża). Kartridż posiada możliwość regulacji wysokości złoża</w:t>
      </w:r>
    </w:p>
    <w:p w14:paraId="49301C50" w14:textId="593416AF"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Puste kartridze Flash 25</w:t>
      </w:r>
      <w:r w:rsidR="005154B8" w:rsidRPr="00E52F16">
        <w:rPr>
          <w:rFonts w:ascii="Times New Roman" w:hAnsi="Times New Roman" w:cs="Times New Roman"/>
          <w:sz w:val="24"/>
          <w:szCs w:val="24"/>
        </w:rPr>
        <w:t xml:space="preserve"> </w:t>
      </w:r>
      <w:r w:rsidRPr="00E52F16">
        <w:rPr>
          <w:rFonts w:ascii="Times New Roman" w:hAnsi="Times New Roman" w:cs="Times New Roman"/>
          <w:sz w:val="24"/>
          <w:szCs w:val="24"/>
        </w:rPr>
        <w:t>g minimum 30 sztuk</w:t>
      </w:r>
    </w:p>
    <w:p w14:paraId="55BB0D77" w14:textId="53F7819C"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Fryty do kartridży 25</w:t>
      </w:r>
      <w:r w:rsidR="005154B8" w:rsidRPr="00E52F16">
        <w:rPr>
          <w:rFonts w:ascii="Times New Roman" w:hAnsi="Times New Roman" w:cs="Times New Roman"/>
          <w:sz w:val="24"/>
          <w:szCs w:val="24"/>
        </w:rPr>
        <w:t xml:space="preserve"> </w:t>
      </w:r>
      <w:r w:rsidRPr="00E52F16">
        <w:rPr>
          <w:rFonts w:ascii="Times New Roman" w:hAnsi="Times New Roman" w:cs="Times New Roman"/>
          <w:sz w:val="24"/>
          <w:szCs w:val="24"/>
        </w:rPr>
        <w:t>g minimum 200 sztuk</w:t>
      </w:r>
    </w:p>
    <w:p w14:paraId="0400775C"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Zestaw do nastrzyku suchej próbki naniesionej na krzemionkę lub inny materiał (preloading) z kardridżem do 5 g (nakręcana na kardridż 5 g aluminiowa głowica, adapter dla kardridża). Kartridż posiada możliwość regulacji wysokości złoża</w:t>
      </w:r>
    </w:p>
    <w:p w14:paraId="20EFB1D5" w14:textId="549ADC05"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Puste kartridze Flash 5</w:t>
      </w:r>
      <w:r w:rsidR="005154B8" w:rsidRPr="00E52F16">
        <w:rPr>
          <w:rFonts w:ascii="Times New Roman" w:hAnsi="Times New Roman" w:cs="Times New Roman"/>
          <w:sz w:val="24"/>
          <w:szCs w:val="24"/>
        </w:rPr>
        <w:t xml:space="preserve"> </w:t>
      </w:r>
      <w:r w:rsidRPr="00E52F16">
        <w:rPr>
          <w:rFonts w:ascii="Times New Roman" w:hAnsi="Times New Roman" w:cs="Times New Roman"/>
          <w:sz w:val="24"/>
          <w:szCs w:val="24"/>
        </w:rPr>
        <w:t>g minimum 30 sztuk</w:t>
      </w:r>
    </w:p>
    <w:p w14:paraId="2685EEB4" w14:textId="6C109E6E"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Fryty do kartridży 5</w:t>
      </w:r>
      <w:r w:rsidR="005154B8" w:rsidRPr="00E52F16">
        <w:rPr>
          <w:rFonts w:ascii="Times New Roman" w:hAnsi="Times New Roman" w:cs="Times New Roman"/>
          <w:sz w:val="24"/>
          <w:szCs w:val="24"/>
        </w:rPr>
        <w:t xml:space="preserve"> </w:t>
      </w:r>
      <w:r w:rsidRPr="00E52F16">
        <w:rPr>
          <w:rFonts w:ascii="Times New Roman" w:hAnsi="Times New Roman" w:cs="Times New Roman"/>
          <w:sz w:val="24"/>
          <w:szCs w:val="24"/>
        </w:rPr>
        <w:t>g minimum 300 sztuk</w:t>
      </w:r>
    </w:p>
    <w:p w14:paraId="7B233D50"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sferycznym 20-40 mikronów, 4 gramy, minimum 28 sztuk</w:t>
      </w:r>
    </w:p>
    <w:p w14:paraId="11F422AC"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sferycznym 20-40 mikronów, 12 gramy, minimum 28 sztuk</w:t>
      </w:r>
    </w:p>
    <w:p w14:paraId="5DE2D6A8"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sferycznym 20-40 mikronów, 24 gramy, minimum 20 sztuk</w:t>
      </w:r>
    </w:p>
    <w:p w14:paraId="6251D162"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sferycznym 20-40 mikronów, 40 gramy, minimum 20 sztuk</w:t>
      </w:r>
    </w:p>
    <w:p w14:paraId="13B0D6B5"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40-60 mikronów, 4 gramy, minimum 60 sztuk</w:t>
      </w:r>
    </w:p>
    <w:p w14:paraId="02299DD2"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40-60 mikronów, 12 gramy, minimum 60 sztuk</w:t>
      </w:r>
    </w:p>
    <w:p w14:paraId="11984062"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lastRenderedPageBreak/>
        <w:t>Kolumienki wypełnione żelem krzemionkowym 40-60 mikronów, 24 gramy, minimum 80 sztuk</w:t>
      </w:r>
    </w:p>
    <w:p w14:paraId="18EAA0D6" w14:textId="77777777" w:rsidR="00FA2B0B" w:rsidRPr="00E52F16" w:rsidRDefault="00FA2B0B" w:rsidP="00FA2B0B">
      <w:pPr>
        <w:pStyle w:val="Akapitzlist"/>
        <w:numPr>
          <w:ilvl w:val="0"/>
          <w:numId w:val="15"/>
        </w:numPr>
        <w:suppressAutoHyphens/>
        <w:spacing w:before="120" w:after="0" w:line="360" w:lineRule="auto"/>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40-60 mikronów, 40 gramy, minimum 80 sztuk</w:t>
      </w:r>
    </w:p>
    <w:p w14:paraId="7C28E2D1" w14:textId="77777777" w:rsidR="00FA2B0B" w:rsidRPr="00E52F16" w:rsidRDefault="00FA2B0B" w:rsidP="00FA2B0B">
      <w:pPr>
        <w:pStyle w:val="Akapitzlist"/>
        <w:numPr>
          <w:ilvl w:val="0"/>
          <w:numId w:val="15"/>
        </w:numPr>
        <w:suppressAutoHyphens/>
        <w:spacing w:before="120" w:after="0" w:line="360" w:lineRule="auto"/>
        <w:contextualSpacing w:val="0"/>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40-60 mikronów, 120 gramy, minimum 40 sztuk</w:t>
      </w:r>
    </w:p>
    <w:p w14:paraId="47926B27" w14:textId="77777777" w:rsidR="00FA2B0B" w:rsidRPr="00E52F16" w:rsidRDefault="00FA2B0B" w:rsidP="00FA2B0B">
      <w:pPr>
        <w:pStyle w:val="Akapitzlist"/>
        <w:numPr>
          <w:ilvl w:val="0"/>
          <w:numId w:val="15"/>
        </w:numPr>
        <w:suppressAutoHyphens/>
        <w:spacing w:before="120" w:after="0" w:line="360" w:lineRule="auto"/>
        <w:contextualSpacing w:val="0"/>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40-60 mikronów, 220 gramy, minimum 24 sztuk</w:t>
      </w:r>
    </w:p>
    <w:p w14:paraId="59B12EF2" w14:textId="07634E4C" w:rsidR="00FA2B0B" w:rsidRPr="00E52F16" w:rsidRDefault="00FA2B0B" w:rsidP="00FA2B0B">
      <w:pPr>
        <w:pStyle w:val="Akapitzlist"/>
        <w:numPr>
          <w:ilvl w:val="0"/>
          <w:numId w:val="15"/>
        </w:numPr>
        <w:suppressAutoHyphens/>
        <w:spacing w:before="120" w:after="0" w:line="360" w:lineRule="auto"/>
        <w:contextualSpacing w:val="0"/>
        <w:jc w:val="both"/>
        <w:rPr>
          <w:rFonts w:ascii="Times New Roman" w:hAnsi="Times New Roman" w:cs="Times New Roman"/>
          <w:sz w:val="24"/>
          <w:szCs w:val="24"/>
        </w:rPr>
      </w:pPr>
      <w:r w:rsidRPr="00E52F16">
        <w:rPr>
          <w:rFonts w:ascii="Times New Roman" w:hAnsi="Times New Roman" w:cs="Times New Roman"/>
          <w:sz w:val="24"/>
          <w:szCs w:val="24"/>
        </w:rPr>
        <w:t>Kolumienki wypełnione żelem krzemionkowym 40-60 mikronów, 330 gramy, minimum 8 sztuk</w:t>
      </w:r>
    </w:p>
    <w:p w14:paraId="7D62E163"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bCs/>
          <w:sz w:val="24"/>
          <w:szCs w:val="24"/>
        </w:rPr>
      </w:pPr>
      <w:r w:rsidRPr="00E52F16">
        <w:rPr>
          <w:rFonts w:ascii="Times New Roman" w:hAnsi="Times New Roman" w:cs="Times New Roman"/>
          <w:b/>
          <w:bCs/>
          <w:sz w:val="24"/>
          <w:szCs w:val="24"/>
        </w:rPr>
        <w:t>Wymiary systemu spełniający następujące parametry:</w:t>
      </w:r>
    </w:p>
    <w:p w14:paraId="556D8D3F" w14:textId="77777777" w:rsidR="00FA2B0B" w:rsidRPr="00E52F16" w:rsidRDefault="00FA2B0B" w:rsidP="00FA2B0B">
      <w:pPr>
        <w:pStyle w:val="Akapitzlist"/>
        <w:numPr>
          <w:ilvl w:val="1"/>
          <w:numId w:val="11"/>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
          <w:bCs/>
          <w:sz w:val="24"/>
          <w:szCs w:val="24"/>
        </w:rPr>
      </w:pPr>
      <w:r w:rsidRPr="00E52F16">
        <w:rPr>
          <w:rFonts w:ascii="Times New Roman" w:hAnsi="Times New Roman" w:cs="Times New Roman"/>
          <w:sz w:val="24"/>
          <w:szCs w:val="24"/>
        </w:rPr>
        <w:t xml:space="preserve">Nie większe niż: wysokość 70 cm, szerokość 40 cm, głębokość 45 cm. </w:t>
      </w:r>
    </w:p>
    <w:p w14:paraId="66D09482" w14:textId="77777777" w:rsidR="00FA2B0B" w:rsidRPr="00E52F16" w:rsidRDefault="00FA2B0B" w:rsidP="00FA2B0B">
      <w:pPr>
        <w:pStyle w:val="Akapitzlist"/>
        <w:numPr>
          <w:ilvl w:val="1"/>
          <w:numId w:val="11"/>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
          <w:bCs/>
          <w:sz w:val="24"/>
          <w:szCs w:val="24"/>
        </w:rPr>
      </w:pPr>
      <w:r w:rsidRPr="00E52F16">
        <w:rPr>
          <w:rFonts w:ascii="Times New Roman" w:hAnsi="Times New Roman" w:cs="Times New Roman"/>
          <w:sz w:val="24"/>
          <w:szCs w:val="24"/>
        </w:rPr>
        <w:t>System musi mieć możliwość ustawienia pod wyciągiem.</w:t>
      </w:r>
    </w:p>
    <w:p w14:paraId="6ADE2B45"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bCs/>
          <w:sz w:val="24"/>
          <w:szCs w:val="24"/>
        </w:rPr>
      </w:pPr>
      <w:r w:rsidRPr="00E52F16">
        <w:rPr>
          <w:rFonts w:ascii="Times New Roman" w:hAnsi="Times New Roman" w:cs="Times New Roman"/>
          <w:b/>
          <w:sz w:val="24"/>
          <w:szCs w:val="24"/>
        </w:rPr>
        <w:t xml:space="preserve">Termin </w:t>
      </w:r>
      <w:r w:rsidRPr="00E52F16">
        <w:rPr>
          <w:rFonts w:ascii="Times New Roman" w:hAnsi="Times New Roman" w:cs="Times New Roman"/>
          <w:b/>
          <w:bCs/>
          <w:color w:val="000000" w:themeColor="text1"/>
          <w:sz w:val="24"/>
          <w:szCs w:val="24"/>
        </w:rPr>
        <w:t>warunki dostawy oraz wymagane szkolenie:</w:t>
      </w:r>
      <w:r w:rsidRPr="00E52F16">
        <w:rPr>
          <w:rFonts w:ascii="Times New Roman" w:hAnsi="Times New Roman" w:cs="Times New Roman"/>
          <w:b/>
          <w:bCs/>
          <w:sz w:val="24"/>
          <w:szCs w:val="24"/>
        </w:rPr>
        <w:t xml:space="preserve"> </w:t>
      </w:r>
    </w:p>
    <w:p w14:paraId="682EF36B" w14:textId="77777777" w:rsidR="00FA2B0B" w:rsidRPr="00E52F16" w:rsidRDefault="00FA2B0B" w:rsidP="00FA2B0B">
      <w:pPr>
        <w:pStyle w:val="Akapitzlist"/>
        <w:numPr>
          <w:ilvl w:val="1"/>
          <w:numId w:val="12"/>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sz w:val="24"/>
          <w:szCs w:val="24"/>
        </w:rPr>
      </w:pPr>
      <w:r w:rsidRPr="00E52F16">
        <w:rPr>
          <w:rFonts w:ascii="Times New Roman" w:hAnsi="Times New Roman" w:cs="Times New Roman"/>
          <w:sz w:val="24"/>
          <w:szCs w:val="24"/>
        </w:rPr>
        <w:t xml:space="preserve">Do 84 dni od daty zawarcia umowy. </w:t>
      </w:r>
    </w:p>
    <w:p w14:paraId="6C3D4BBA" w14:textId="581848B2" w:rsidR="00FA2B0B" w:rsidRPr="00E52F16" w:rsidRDefault="00FA2B0B" w:rsidP="00FA2B0B">
      <w:pPr>
        <w:pStyle w:val="Akapitzlist"/>
        <w:numPr>
          <w:ilvl w:val="1"/>
          <w:numId w:val="12"/>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sz w:val="24"/>
          <w:szCs w:val="24"/>
        </w:rPr>
      </w:pPr>
      <w:r w:rsidRPr="00E52F16">
        <w:rPr>
          <w:rFonts w:ascii="Times New Roman" w:hAnsi="Times New Roman" w:cs="Times New Roman"/>
          <w:sz w:val="24"/>
          <w:szCs w:val="24"/>
        </w:rPr>
        <w:t>Wykonawca przeprowadzi minimum 8 godzinn</w:t>
      </w:r>
      <w:r w:rsidR="005154B8" w:rsidRPr="00E52F16">
        <w:rPr>
          <w:rFonts w:ascii="Times New Roman" w:hAnsi="Times New Roman" w:cs="Times New Roman"/>
          <w:sz w:val="24"/>
          <w:szCs w:val="24"/>
        </w:rPr>
        <w:t>y</w:t>
      </w:r>
      <w:r w:rsidRPr="00E52F16">
        <w:rPr>
          <w:rFonts w:ascii="Times New Roman" w:hAnsi="Times New Roman" w:cs="Times New Roman"/>
          <w:sz w:val="24"/>
          <w:szCs w:val="24"/>
        </w:rPr>
        <w:t xml:space="preserve"> </w:t>
      </w:r>
      <w:r w:rsidR="005154B8" w:rsidRPr="00E52F16">
        <w:rPr>
          <w:rFonts w:ascii="Times New Roman" w:hAnsi="Times New Roman" w:cs="Times New Roman"/>
          <w:sz w:val="24"/>
          <w:szCs w:val="24"/>
        </w:rPr>
        <w:t xml:space="preserve">instruktarz </w:t>
      </w:r>
      <w:r w:rsidRPr="00E52F16">
        <w:rPr>
          <w:rFonts w:ascii="Times New Roman" w:hAnsi="Times New Roman" w:cs="Times New Roman"/>
          <w:sz w:val="24"/>
          <w:szCs w:val="24"/>
        </w:rPr>
        <w:t>w zakresie eksploatacji i konserwacji dostarczonych urządzeń dla dwóch osób wskazanych przez Zamawiającego, w siedzibie Zamawiającego.</w:t>
      </w:r>
    </w:p>
    <w:p w14:paraId="068F0214" w14:textId="77777777" w:rsidR="00FA2B0B" w:rsidRPr="00E52F16" w:rsidRDefault="00FA2B0B" w:rsidP="00FA2B0B">
      <w:pPr>
        <w:pStyle w:val="Akapitzlist"/>
        <w:numPr>
          <w:ilvl w:val="1"/>
          <w:numId w:val="12"/>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sz w:val="24"/>
          <w:szCs w:val="24"/>
        </w:rPr>
      </w:pPr>
      <w:r w:rsidRPr="00E52F16">
        <w:rPr>
          <w:rFonts w:ascii="Times New Roman" w:hAnsi="Times New Roman" w:cs="Times New Roman"/>
          <w:sz w:val="24"/>
          <w:szCs w:val="24"/>
        </w:rPr>
        <w:t>Dostawa do wskazanego pomieszczenia w siedzibie Zamawiającego, na koszt i ryzyko Wykonawcy, jego montaż i uruchomienie.</w:t>
      </w:r>
    </w:p>
    <w:p w14:paraId="374F7522"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sz w:val="24"/>
          <w:szCs w:val="24"/>
          <w:lang w:eastAsia="pl-PL"/>
        </w:rPr>
      </w:pPr>
      <w:r w:rsidRPr="00E52F16">
        <w:rPr>
          <w:rFonts w:ascii="Times New Roman" w:hAnsi="Times New Roman" w:cs="Times New Roman"/>
          <w:b/>
          <w:sz w:val="24"/>
          <w:szCs w:val="24"/>
        </w:rPr>
        <w:t>Gwarancja</w:t>
      </w:r>
      <w:r w:rsidRPr="00E52F16">
        <w:rPr>
          <w:rFonts w:ascii="Times New Roman" w:hAnsi="Times New Roman" w:cs="Times New Roman"/>
          <w:b/>
          <w:sz w:val="24"/>
          <w:szCs w:val="24"/>
          <w:lang w:eastAsia="pl-PL"/>
        </w:rPr>
        <w:t xml:space="preserve">: </w:t>
      </w:r>
    </w:p>
    <w:p w14:paraId="7E4D7835" w14:textId="57D54AD8" w:rsidR="00FA2B0B" w:rsidRPr="00E52F16" w:rsidRDefault="00FA2B0B" w:rsidP="00FA2B0B">
      <w:pPr>
        <w:pStyle w:val="Akapitzlist"/>
        <w:numPr>
          <w:ilvl w:val="1"/>
          <w:numId w:val="13"/>
        </w:numPr>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sz w:val="24"/>
          <w:szCs w:val="24"/>
          <w:lang w:eastAsia="pl-PL"/>
        </w:rPr>
      </w:pPr>
      <w:r w:rsidRPr="00E52F16">
        <w:rPr>
          <w:rFonts w:ascii="Times New Roman" w:hAnsi="Times New Roman" w:cs="Times New Roman"/>
          <w:sz w:val="24"/>
          <w:szCs w:val="24"/>
        </w:rPr>
        <w:t>Minimum</w:t>
      </w:r>
      <w:r w:rsidRPr="00E52F16">
        <w:rPr>
          <w:rFonts w:ascii="Times New Roman" w:hAnsi="Times New Roman" w:cs="Times New Roman"/>
          <w:sz w:val="24"/>
          <w:szCs w:val="24"/>
          <w:lang w:eastAsia="pl-PL"/>
        </w:rPr>
        <w:t xml:space="preserve"> </w:t>
      </w:r>
      <w:r w:rsidR="005154B8" w:rsidRPr="00E52F16">
        <w:rPr>
          <w:rFonts w:ascii="Times New Roman" w:hAnsi="Times New Roman" w:cs="Times New Roman"/>
          <w:sz w:val="24"/>
          <w:szCs w:val="24"/>
          <w:lang w:eastAsia="pl-PL"/>
        </w:rPr>
        <w:t>12</w:t>
      </w:r>
      <w:r w:rsidRPr="00E52F16">
        <w:rPr>
          <w:rFonts w:ascii="Times New Roman" w:hAnsi="Times New Roman" w:cs="Times New Roman"/>
          <w:sz w:val="24"/>
          <w:szCs w:val="24"/>
          <w:lang w:eastAsia="pl-PL"/>
        </w:rPr>
        <w:t xml:space="preserve"> miesięcy od daty podpisania bezusterkowego protokołu odbioru. </w:t>
      </w:r>
    </w:p>
    <w:p w14:paraId="7D0987CE" w14:textId="77777777" w:rsidR="00FA2B0B" w:rsidRPr="00E52F16" w:rsidRDefault="00FA2B0B" w:rsidP="00FA2B0B">
      <w:pPr>
        <w:pStyle w:val="Akapitzlist"/>
        <w:suppressAutoHyphens/>
        <w:spacing w:before="120" w:after="0" w:line="360" w:lineRule="auto"/>
        <w:ind w:left="425" w:hanging="425"/>
        <w:contextualSpacing w:val="0"/>
        <w:jc w:val="both"/>
        <w:rPr>
          <w:rFonts w:ascii="Times New Roman" w:hAnsi="Times New Roman" w:cs="Times New Roman"/>
          <w:b/>
          <w:sz w:val="24"/>
          <w:szCs w:val="24"/>
        </w:rPr>
      </w:pPr>
      <w:r w:rsidRPr="00E52F16">
        <w:rPr>
          <w:rFonts w:ascii="Times New Roman" w:hAnsi="Times New Roman" w:cs="Times New Roman"/>
          <w:b/>
          <w:sz w:val="24"/>
          <w:szCs w:val="24"/>
        </w:rPr>
        <w:t xml:space="preserve">Serwis: </w:t>
      </w:r>
    </w:p>
    <w:p w14:paraId="71ABE218" w14:textId="77777777" w:rsidR="00FA2B0B" w:rsidRPr="00E52F16" w:rsidRDefault="00FA2B0B" w:rsidP="00FA2B0B">
      <w:pPr>
        <w:pStyle w:val="Akapitzlist"/>
        <w:numPr>
          <w:ilvl w:val="1"/>
          <w:numId w:val="14"/>
        </w:numPr>
        <w:tabs>
          <w:tab w:val="left" w:pos="142"/>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Bezpłatny przegląd po pierwszym roku użytkowania.</w:t>
      </w:r>
    </w:p>
    <w:p w14:paraId="6A0DA116" w14:textId="77777777" w:rsidR="00FA2B0B" w:rsidRPr="00E52F16" w:rsidRDefault="00FA2B0B" w:rsidP="00FA2B0B">
      <w:pPr>
        <w:pStyle w:val="Akapitzlist"/>
        <w:numPr>
          <w:ilvl w:val="1"/>
          <w:numId w:val="14"/>
        </w:numPr>
        <w:tabs>
          <w:tab w:val="left" w:pos="142"/>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bCs/>
          <w:sz w:val="24"/>
          <w:szCs w:val="24"/>
        </w:rPr>
        <w:t>Czas reakcji serwisu w okresie gwarancyjnym maksymalnie 72 godzin od momentu zgłoszenia.</w:t>
      </w:r>
    </w:p>
    <w:p w14:paraId="27E9B843" w14:textId="77777777" w:rsidR="00FA2B0B" w:rsidRPr="00E52F16" w:rsidRDefault="00FA2B0B" w:rsidP="00FA2B0B">
      <w:pPr>
        <w:pStyle w:val="Akapitzlist"/>
        <w:numPr>
          <w:ilvl w:val="1"/>
          <w:numId w:val="14"/>
        </w:numPr>
        <w:tabs>
          <w:tab w:val="left" w:pos="142"/>
        </w:tabs>
        <w:suppressAutoHyphens/>
        <w:autoSpaceDN w:val="0"/>
        <w:spacing w:beforeLines="1" w:before="2" w:afterLines="1" w:after="2" w:line="360" w:lineRule="auto"/>
        <w:ind w:left="851" w:hanging="425"/>
        <w:contextualSpacing w:val="0"/>
        <w:jc w:val="both"/>
        <w:textAlignment w:val="baseline"/>
        <w:rPr>
          <w:rFonts w:ascii="Times New Roman" w:hAnsi="Times New Roman" w:cs="Times New Roman"/>
          <w:bCs/>
          <w:sz w:val="24"/>
          <w:szCs w:val="24"/>
        </w:rPr>
      </w:pPr>
      <w:r w:rsidRPr="00E52F16">
        <w:rPr>
          <w:rFonts w:ascii="Times New Roman" w:hAnsi="Times New Roman" w:cs="Times New Roman"/>
          <w:sz w:val="24"/>
          <w:szCs w:val="24"/>
        </w:rPr>
        <w:t>Czas naprawy od momentu zgłoszenia do 14 dni roboczych</w:t>
      </w:r>
      <w:bookmarkEnd w:id="0"/>
      <w:r w:rsidRPr="00E52F16">
        <w:rPr>
          <w:rFonts w:ascii="Times New Roman" w:hAnsi="Times New Roman" w:cs="Times New Roman"/>
          <w:sz w:val="24"/>
          <w:szCs w:val="24"/>
        </w:rPr>
        <w:t>.</w:t>
      </w:r>
    </w:p>
    <w:p w14:paraId="5605EDD3" w14:textId="39C3FAD0" w:rsidR="005154B8" w:rsidRPr="00E52F16" w:rsidRDefault="005154B8">
      <w:pPr>
        <w:rPr>
          <w:rFonts w:ascii="Times New Roman" w:hAnsi="Times New Roman" w:cs="Times New Roman"/>
          <w:bCs/>
          <w:sz w:val="24"/>
          <w:szCs w:val="24"/>
        </w:rPr>
      </w:pPr>
    </w:p>
    <w:p w14:paraId="4C4EB210" w14:textId="4AECE0DB" w:rsidR="00FA2B0B" w:rsidRPr="00E52F16" w:rsidRDefault="00FA2B0B" w:rsidP="00FA2B0B">
      <w:pPr>
        <w:pStyle w:val="Akapitzlist"/>
        <w:numPr>
          <w:ilvl w:val="0"/>
          <w:numId w:val="17"/>
        </w:numPr>
        <w:tabs>
          <w:tab w:val="left" w:pos="6576"/>
        </w:tabs>
        <w:spacing w:line="360" w:lineRule="auto"/>
        <w:rPr>
          <w:rFonts w:ascii="Times New Roman" w:hAnsi="Times New Roman" w:cs="Times New Roman"/>
          <w:b/>
          <w:bCs/>
          <w:sz w:val="24"/>
          <w:szCs w:val="24"/>
        </w:rPr>
      </w:pPr>
      <w:r w:rsidRPr="00E52F16">
        <w:rPr>
          <w:rFonts w:ascii="Times New Roman" w:hAnsi="Times New Roman" w:cs="Times New Roman"/>
          <w:b/>
          <w:bCs/>
          <w:sz w:val="24"/>
          <w:szCs w:val="24"/>
        </w:rPr>
        <w:t xml:space="preserve">Układ do odzyskiwania rozpuszczalników </w:t>
      </w:r>
      <w:r w:rsidRPr="00E52F16">
        <w:rPr>
          <w:rFonts w:ascii="Times New Roman" w:hAnsi="Times New Roman" w:cs="Times New Roman"/>
          <w:sz w:val="24"/>
          <w:szCs w:val="24"/>
        </w:rPr>
        <w:tab/>
      </w:r>
    </w:p>
    <w:p w14:paraId="63BD1CAC" w14:textId="77777777" w:rsidR="00FA2B0B" w:rsidRPr="00E52F16" w:rsidRDefault="00FA2B0B" w:rsidP="00FA2B0B">
      <w:pPr>
        <w:ind w:left="720" w:hanging="360"/>
        <w:rPr>
          <w:rFonts w:ascii="Times New Roman" w:hAnsi="Times New Roman" w:cs="Times New Roman"/>
          <w:b/>
          <w:bCs/>
          <w:sz w:val="24"/>
          <w:szCs w:val="24"/>
        </w:rPr>
      </w:pPr>
      <w:r w:rsidRPr="00E52F16">
        <w:rPr>
          <w:rFonts w:ascii="Times New Roman" w:hAnsi="Times New Roman" w:cs="Times New Roman"/>
          <w:b/>
          <w:bCs/>
          <w:sz w:val="24"/>
          <w:szCs w:val="24"/>
        </w:rPr>
        <w:t>Wyparka rotacyjna:</w:t>
      </w:r>
    </w:p>
    <w:p w14:paraId="6901E3B3"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lastRenderedPageBreak/>
        <w:t>Konfiguracja chłodnicy: szklana, pionowa chłodnica pokryta warstwą zabezpieczającą (antyimplozyjną) z tworzywa, ze zgrupowanym układem króćców przyłączeniowych dla przewodów doprowadzających medium chłodzące oraz źródła próżni</w:t>
      </w:r>
    </w:p>
    <w:p w14:paraId="0889357A"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Powierzchnia kondensacji min. 1500 cm</w:t>
      </w:r>
      <w:r w:rsidRPr="00E52F16">
        <w:rPr>
          <w:rFonts w:ascii="Times New Roman" w:hAnsi="Times New Roman" w:cs="Times New Roman"/>
          <w:sz w:val="24"/>
          <w:szCs w:val="24"/>
          <w:vertAlign w:val="superscript"/>
        </w:rPr>
        <w:t>2</w:t>
      </w:r>
    </w:p>
    <w:p w14:paraId="12D54EEF"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Prędkość obrotowa: płynna regulacja w zakresie 10 – 280 obr./min lub szerszym</w:t>
      </w:r>
    </w:p>
    <w:p w14:paraId="1C41D07D"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Monitoring stały wszystkich parametrów</w:t>
      </w:r>
    </w:p>
    <w:p w14:paraId="23E7FE97"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System do szybkiego mocowania i zdejmowania kolby destylacyjnej oraz usuwania rurki wyparnej</w:t>
      </w:r>
    </w:p>
    <w:p w14:paraId="161E9CA8"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Szklana rurka wyparna ze szlifem SJ 29/32</w:t>
      </w:r>
    </w:p>
    <w:p w14:paraId="2F6C9C8B"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Cichobieżny napęd obrotowy kolby destylacyjnej, sterowany elektronicznie.</w:t>
      </w:r>
    </w:p>
    <w:p w14:paraId="74BE4D38"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Max. objętość kolby destylacyjnej min. 5L</w:t>
      </w:r>
    </w:p>
    <w:p w14:paraId="43A55D8C"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Regulacja kąta nachylenia/zanurzenia kolby w zakresie min. 10-50</w:t>
      </w:r>
      <w:r w:rsidRPr="00E52F16">
        <w:rPr>
          <w:rFonts w:ascii="Times New Roman" w:hAnsi="Times New Roman" w:cs="Times New Roman"/>
          <w:sz w:val="24"/>
          <w:szCs w:val="24"/>
          <w:vertAlign w:val="superscript"/>
        </w:rPr>
        <w:t>o</w:t>
      </w:r>
    </w:p>
    <w:p w14:paraId="3A02959B"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 xml:space="preserve">Automatyczny pierścień mocujący kolbę wyparną </w:t>
      </w:r>
    </w:p>
    <w:p w14:paraId="10323BAB"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Pierścień mocujący umożliwiający łatwy demontaż szklanej rury wyparnej</w:t>
      </w:r>
    </w:p>
    <w:p w14:paraId="7227D939"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Wymiary urządzenia max. 610x 430x 950 (WxDxH)</w:t>
      </w:r>
    </w:p>
    <w:p w14:paraId="7DC55232"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Zasilanie: 240 V, 50/60 Hz</w:t>
      </w:r>
    </w:p>
    <w:p w14:paraId="15EF36FC" w14:textId="77777777" w:rsidR="00FA2B0B" w:rsidRPr="00E52F16" w:rsidRDefault="00FA2B0B" w:rsidP="00FA2B0B">
      <w:pPr>
        <w:pStyle w:val="Akapitzlist"/>
        <w:numPr>
          <w:ilvl w:val="0"/>
          <w:numId w:val="18"/>
        </w:numPr>
        <w:rPr>
          <w:rFonts w:ascii="Times New Roman" w:hAnsi="Times New Roman" w:cs="Times New Roman"/>
          <w:sz w:val="24"/>
          <w:szCs w:val="24"/>
        </w:rPr>
      </w:pPr>
      <w:r w:rsidRPr="00E52F16">
        <w:rPr>
          <w:rFonts w:ascii="Times New Roman" w:hAnsi="Times New Roman" w:cs="Times New Roman"/>
          <w:sz w:val="24"/>
          <w:szCs w:val="24"/>
        </w:rPr>
        <w:t>Klasa ochrony IP21</w:t>
      </w:r>
    </w:p>
    <w:p w14:paraId="151D2DE7" w14:textId="77777777" w:rsidR="00FA2B0B" w:rsidRPr="00E52F16" w:rsidRDefault="00FA2B0B" w:rsidP="00FA2B0B">
      <w:pPr>
        <w:ind w:firstLine="360"/>
        <w:rPr>
          <w:rFonts w:ascii="Times New Roman" w:hAnsi="Times New Roman" w:cs="Times New Roman"/>
          <w:b/>
          <w:bCs/>
          <w:sz w:val="24"/>
          <w:szCs w:val="24"/>
        </w:rPr>
      </w:pPr>
      <w:r w:rsidRPr="00E52F16">
        <w:rPr>
          <w:rFonts w:ascii="Times New Roman" w:hAnsi="Times New Roman" w:cs="Times New Roman"/>
          <w:b/>
          <w:bCs/>
          <w:sz w:val="24"/>
          <w:szCs w:val="24"/>
        </w:rPr>
        <w:t>Wyposażenie wyparki:</w:t>
      </w:r>
    </w:p>
    <w:p w14:paraId="1B76ADEB" w14:textId="77777777" w:rsidR="00FA2B0B" w:rsidRPr="00E52F16" w:rsidRDefault="00FA2B0B" w:rsidP="00FA2B0B">
      <w:pPr>
        <w:pStyle w:val="Akapitzlist"/>
        <w:numPr>
          <w:ilvl w:val="0"/>
          <w:numId w:val="19"/>
        </w:numPr>
        <w:rPr>
          <w:rFonts w:ascii="Times New Roman" w:hAnsi="Times New Roman" w:cs="Times New Roman"/>
          <w:sz w:val="24"/>
          <w:szCs w:val="24"/>
        </w:rPr>
      </w:pPr>
      <w:r w:rsidRPr="00E52F16">
        <w:rPr>
          <w:rFonts w:ascii="Times New Roman" w:hAnsi="Times New Roman" w:cs="Times New Roman"/>
          <w:sz w:val="24"/>
          <w:szCs w:val="24"/>
        </w:rPr>
        <w:t>kolba destylacyjna 1000 ml</w:t>
      </w:r>
    </w:p>
    <w:p w14:paraId="32FAD049" w14:textId="77777777" w:rsidR="00FA2B0B" w:rsidRPr="00E52F16" w:rsidRDefault="00FA2B0B" w:rsidP="00FA2B0B">
      <w:pPr>
        <w:pStyle w:val="Akapitzlist"/>
        <w:numPr>
          <w:ilvl w:val="0"/>
          <w:numId w:val="19"/>
        </w:numPr>
        <w:rPr>
          <w:rFonts w:ascii="Times New Roman" w:hAnsi="Times New Roman" w:cs="Times New Roman"/>
          <w:sz w:val="24"/>
          <w:szCs w:val="24"/>
        </w:rPr>
      </w:pPr>
      <w:r w:rsidRPr="00E52F16">
        <w:rPr>
          <w:rFonts w:ascii="Times New Roman" w:hAnsi="Times New Roman" w:cs="Times New Roman"/>
          <w:sz w:val="24"/>
          <w:szCs w:val="24"/>
        </w:rPr>
        <w:t>odbieralnik pokryty tworzywem sztucznym 1000 ml</w:t>
      </w:r>
    </w:p>
    <w:p w14:paraId="5B155809" w14:textId="77777777" w:rsidR="00FA2B0B" w:rsidRPr="00E52F16" w:rsidRDefault="00FA2B0B" w:rsidP="00FA2B0B">
      <w:pPr>
        <w:pStyle w:val="Akapitzlist"/>
        <w:numPr>
          <w:ilvl w:val="0"/>
          <w:numId w:val="19"/>
        </w:numPr>
        <w:rPr>
          <w:rFonts w:ascii="Times New Roman" w:hAnsi="Times New Roman" w:cs="Times New Roman"/>
          <w:sz w:val="24"/>
          <w:szCs w:val="24"/>
        </w:rPr>
      </w:pPr>
      <w:r w:rsidRPr="00E52F16">
        <w:rPr>
          <w:rFonts w:ascii="Times New Roman" w:hAnsi="Times New Roman" w:cs="Times New Roman"/>
          <w:sz w:val="24"/>
          <w:szCs w:val="24"/>
        </w:rPr>
        <w:t>butelka Woulff’a (z nakręcaną głowicą, pokryta warstwą zabezpieczającą z tworzywa, z 4 króćcami przyłączeniowymi)</w:t>
      </w:r>
    </w:p>
    <w:p w14:paraId="5CDF311A" w14:textId="77777777" w:rsidR="00FA2B0B" w:rsidRPr="00E52F16" w:rsidRDefault="00FA2B0B" w:rsidP="00FA2B0B">
      <w:pPr>
        <w:pStyle w:val="Akapitzlist"/>
        <w:numPr>
          <w:ilvl w:val="0"/>
          <w:numId w:val="19"/>
        </w:numPr>
        <w:rPr>
          <w:rFonts w:ascii="Times New Roman" w:hAnsi="Times New Roman" w:cs="Times New Roman"/>
          <w:sz w:val="24"/>
          <w:szCs w:val="24"/>
        </w:rPr>
      </w:pPr>
      <w:r w:rsidRPr="00E52F16">
        <w:rPr>
          <w:rFonts w:ascii="Times New Roman" w:hAnsi="Times New Roman" w:cs="Times New Roman"/>
          <w:sz w:val="24"/>
          <w:szCs w:val="24"/>
        </w:rPr>
        <w:t>podnośnik elektryczny pozwalający na bezstopniową regulację głębokości zanurzenia kolby w zakresie nie mniej niż do 220 mm</w:t>
      </w:r>
    </w:p>
    <w:p w14:paraId="796B987F" w14:textId="77777777" w:rsidR="00FA2B0B" w:rsidRPr="00E52F16" w:rsidRDefault="00FA2B0B" w:rsidP="00FA2B0B">
      <w:pPr>
        <w:pStyle w:val="Akapitzlist"/>
        <w:numPr>
          <w:ilvl w:val="0"/>
          <w:numId w:val="19"/>
        </w:numPr>
        <w:rPr>
          <w:rFonts w:ascii="Times New Roman" w:hAnsi="Times New Roman" w:cs="Times New Roman"/>
          <w:sz w:val="24"/>
          <w:szCs w:val="24"/>
        </w:rPr>
      </w:pPr>
      <w:r w:rsidRPr="00E52F16">
        <w:rPr>
          <w:rFonts w:ascii="Times New Roman" w:hAnsi="Times New Roman" w:cs="Times New Roman"/>
          <w:sz w:val="24"/>
          <w:szCs w:val="24"/>
        </w:rPr>
        <w:t>możliwość zapamiętania głębokości zanurzania z wykorzystaniem przycisku zlokalizowanego na podnośniku</w:t>
      </w:r>
    </w:p>
    <w:p w14:paraId="2FC6291D" w14:textId="77777777" w:rsidR="00FA2B0B" w:rsidRPr="00E52F16" w:rsidRDefault="00FA2B0B" w:rsidP="00FA2B0B">
      <w:pPr>
        <w:pStyle w:val="Akapitzlist"/>
        <w:numPr>
          <w:ilvl w:val="0"/>
          <w:numId w:val="19"/>
        </w:numPr>
        <w:rPr>
          <w:rFonts w:ascii="Times New Roman" w:hAnsi="Times New Roman" w:cs="Times New Roman"/>
          <w:sz w:val="24"/>
          <w:szCs w:val="24"/>
        </w:rPr>
      </w:pPr>
      <w:r w:rsidRPr="00E52F16">
        <w:rPr>
          <w:rFonts w:ascii="Times New Roman" w:hAnsi="Times New Roman" w:cs="Times New Roman"/>
          <w:sz w:val="24"/>
          <w:szCs w:val="24"/>
        </w:rPr>
        <w:t>Pokrętło do sterowania prędkością obrotów</w:t>
      </w:r>
    </w:p>
    <w:p w14:paraId="60240371" w14:textId="77777777" w:rsidR="00FA2B0B" w:rsidRPr="00E52F16" w:rsidRDefault="00FA2B0B" w:rsidP="00FA2B0B">
      <w:pPr>
        <w:ind w:left="360"/>
        <w:rPr>
          <w:rFonts w:ascii="Times New Roman" w:hAnsi="Times New Roman" w:cs="Times New Roman"/>
          <w:b/>
          <w:bCs/>
          <w:sz w:val="24"/>
          <w:szCs w:val="24"/>
        </w:rPr>
      </w:pPr>
      <w:r w:rsidRPr="00E52F16">
        <w:rPr>
          <w:rFonts w:ascii="Times New Roman" w:hAnsi="Times New Roman" w:cs="Times New Roman"/>
          <w:b/>
          <w:bCs/>
          <w:sz w:val="24"/>
          <w:szCs w:val="24"/>
        </w:rPr>
        <w:t>Łaźnia wodna:</w:t>
      </w:r>
    </w:p>
    <w:p w14:paraId="60A4F1F2"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Pojemność misy min. 2,3 L</w:t>
      </w:r>
    </w:p>
    <w:p w14:paraId="32E2C055"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Zakres nastawy i kontroli temperatury do 95°C</w:t>
      </w:r>
    </w:p>
    <w:p w14:paraId="3FF95A8A"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Moc grzewcza min. 1100 W</w:t>
      </w:r>
    </w:p>
    <w:p w14:paraId="5C133BEB"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 xml:space="preserve">Czas grzania wody do 95 </w:t>
      </w:r>
      <w:r w:rsidRPr="00E52F16">
        <w:rPr>
          <w:rFonts w:ascii="Times New Roman" w:hAnsi="Times New Roman" w:cs="Times New Roman"/>
          <w:sz w:val="24"/>
          <w:szCs w:val="24"/>
          <w:vertAlign w:val="superscript"/>
        </w:rPr>
        <w:t>o</w:t>
      </w:r>
      <w:r w:rsidRPr="00E52F16">
        <w:rPr>
          <w:rFonts w:ascii="Times New Roman" w:hAnsi="Times New Roman" w:cs="Times New Roman"/>
          <w:sz w:val="24"/>
          <w:szCs w:val="24"/>
        </w:rPr>
        <w:t>C nie dłużej niż 13 min.</w:t>
      </w:r>
    </w:p>
    <w:p w14:paraId="68EE93C4"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Maksym. odchylenie temperaturowe w zakresie do 95°C: ± 1°C</w:t>
      </w:r>
    </w:p>
    <w:p w14:paraId="23A7A789"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Dokładność ustawienia temperatury ± 1°C</w:t>
      </w:r>
    </w:p>
    <w:p w14:paraId="71D30ABC"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Wykonanie misy łaźni ze stali nierdzewnej</w:t>
      </w:r>
    </w:p>
    <w:p w14:paraId="484FB194"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Elektroniczny i mechaniczny system zabezpieczenia łaźni przed przegrzaniem rozłączający grzanie przy zbyt szybkim nagrzewaniu się łaźni</w:t>
      </w:r>
    </w:p>
    <w:p w14:paraId="345C482B"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Zasilanie: 220-240 V, 50/60 Hz</w:t>
      </w:r>
    </w:p>
    <w:p w14:paraId="53496573"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Dwa ergonomiczne uchwyty do napełniania i opróżniania łaźni</w:t>
      </w:r>
    </w:p>
    <w:p w14:paraId="41C5BFB9"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Łaźnia bezprzewodowa (zasilanie podłączone do podstawy łaźni)</w:t>
      </w:r>
    </w:p>
    <w:p w14:paraId="5A58F8F8"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Brak konieczności odłączania zasilania łaźni podczas napełniania/opróżniania</w:t>
      </w:r>
    </w:p>
    <w:p w14:paraId="225416FD"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Czujnik zbliżeniowy do pozycjonowania łaźni względem wyparki</w:t>
      </w:r>
    </w:p>
    <w:p w14:paraId="0F02BA09"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lastRenderedPageBreak/>
        <w:t>Możliwość ustawienia max. temperatury grzania</w:t>
      </w:r>
    </w:p>
    <w:p w14:paraId="76A7A1BD" w14:textId="77777777" w:rsidR="00FA2B0B" w:rsidRPr="00E52F16" w:rsidRDefault="00FA2B0B" w:rsidP="00FA2B0B">
      <w:pPr>
        <w:pStyle w:val="Akapitzlist"/>
        <w:numPr>
          <w:ilvl w:val="0"/>
          <w:numId w:val="20"/>
        </w:numPr>
        <w:ind w:left="709"/>
        <w:rPr>
          <w:rFonts w:ascii="Times New Roman" w:hAnsi="Times New Roman" w:cs="Times New Roman"/>
          <w:sz w:val="24"/>
          <w:szCs w:val="24"/>
        </w:rPr>
      </w:pPr>
      <w:r w:rsidRPr="00E52F16">
        <w:rPr>
          <w:rFonts w:ascii="Times New Roman" w:hAnsi="Times New Roman" w:cs="Times New Roman"/>
          <w:sz w:val="24"/>
          <w:szCs w:val="24"/>
        </w:rPr>
        <w:t>Wyświetlacz zlokalizowany na podstawie łaźni grzewczej prezentujący :</w:t>
      </w:r>
    </w:p>
    <w:p w14:paraId="17F4D1E3" w14:textId="77777777" w:rsidR="00FA2B0B" w:rsidRPr="00E52F16" w:rsidRDefault="00FA2B0B" w:rsidP="00FA2B0B">
      <w:pPr>
        <w:pStyle w:val="Akapitzlist"/>
        <w:ind w:left="1418"/>
        <w:rPr>
          <w:rFonts w:ascii="Times New Roman" w:hAnsi="Times New Roman" w:cs="Times New Roman"/>
          <w:sz w:val="24"/>
          <w:szCs w:val="24"/>
        </w:rPr>
      </w:pPr>
      <w:r w:rsidRPr="00E52F16">
        <w:rPr>
          <w:rFonts w:ascii="Times New Roman" w:hAnsi="Times New Roman" w:cs="Times New Roman"/>
          <w:sz w:val="24"/>
          <w:szCs w:val="24"/>
        </w:rPr>
        <w:t>- max. temperaturę</w:t>
      </w:r>
    </w:p>
    <w:p w14:paraId="2624BF9E" w14:textId="77777777" w:rsidR="00FA2B0B" w:rsidRPr="00E52F16" w:rsidRDefault="00FA2B0B" w:rsidP="00FA2B0B">
      <w:pPr>
        <w:pStyle w:val="Akapitzlist"/>
        <w:ind w:left="1418"/>
        <w:rPr>
          <w:rFonts w:ascii="Times New Roman" w:hAnsi="Times New Roman" w:cs="Times New Roman"/>
          <w:sz w:val="24"/>
          <w:szCs w:val="24"/>
        </w:rPr>
      </w:pPr>
      <w:r w:rsidRPr="00E52F16">
        <w:rPr>
          <w:rFonts w:ascii="Times New Roman" w:hAnsi="Times New Roman" w:cs="Times New Roman"/>
          <w:sz w:val="24"/>
          <w:szCs w:val="24"/>
        </w:rPr>
        <w:t>- aktualną temperaturę</w:t>
      </w:r>
    </w:p>
    <w:p w14:paraId="6AD7D52E" w14:textId="77777777" w:rsidR="00FA2B0B" w:rsidRPr="00E52F16" w:rsidRDefault="00FA2B0B" w:rsidP="00FA2B0B">
      <w:pPr>
        <w:pStyle w:val="Akapitzlist"/>
        <w:ind w:left="1418"/>
        <w:rPr>
          <w:rFonts w:ascii="Times New Roman" w:hAnsi="Times New Roman" w:cs="Times New Roman"/>
          <w:sz w:val="24"/>
          <w:szCs w:val="24"/>
        </w:rPr>
      </w:pPr>
      <w:r w:rsidRPr="00E52F16">
        <w:rPr>
          <w:rFonts w:ascii="Times New Roman" w:hAnsi="Times New Roman" w:cs="Times New Roman"/>
          <w:sz w:val="24"/>
          <w:szCs w:val="24"/>
        </w:rPr>
        <w:t>- zadaną temperaturę</w:t>
      </w:r>
    </w:p>
    <w:p w14:paraId="751A3C2B" w14:textId="77777777" w:rsidR="00FA2B0B" w:rsidRPr="00E52F16" w:rsidRDefault="00FA2B0B" w:rsidP="00FA2B0B">
      <w:pPr>
        <w:pStyle w:val="Akapitzlist"/>
        <w:ind w:left="1418"/>
        <w:rPr>
          <w:rFonts w:ascii="Times New Roman" w:hAnsi="Times New Roman" w:cs="Times New Roman"/>
          <w:sz w:val="24"/>
          <w:szCs w:val="24"/>
        </w:rPr>
      </w:pPr>
      <w:r w:rsidRPr="00E52F16">
        <w:rPr>
          <w:rFonts w:ascii="Times New Roman" w:hAnsi="Times New Roman" w:cs="Times New Roman"/>
          <w:sz w:val="24"/>
          <w:szCs w:val="24"/>
        </w:rPr>
        <w:t>- głębokość zanurzenia kolby</w:t>
      </w:r>
    </w:p>
    <w:p w14:paraId="0A834492" w14:textId="77777777" w:rsidR="00FA2B0B" w:rsidRPr="00E52F16" w:rsidRDefault="00FA2B0B" w:rsidP="00FA2B0B">
      <w:pPr>
        <w:pStyle w:val="Akapitzlist"/>
        <w:ind w:left="1418"/>
        <w:rPr>
          <w:rFonts w:ascii="Times New Roman" w:hAnsi="Times New Roman" w:cs="Times New Roman"/>
          <w:sz w:val="24"/>
          <w:szCs w:val="24"/>
        </w:rPr>
      </w:pPr>
      <w:r w:rsidRPr="00E52F16">
        <w:rPr>
          <w:rFonts w:ascii="Times New Roman" w:hAnsi="Times New Roman" w:cs="Times New Roman"/>
          <w:sz w:val="24"/>
          <w:szCs w:val="24"/>
        </w:rPr>
        <w:t>- blokadę/brak blokady temperatury</w:t>
      </w:r>
    </w:p>
    <w:p w14:paraId="68EA4DC2" w14:textId="77777777" w:rsidR="00FA2B0B" w:rsidRPr="00E52F16" w:rsidRDefault="00FA2B0B" w:rsidP="00FA2B0B">
      <w:pPr>
        <w:pStyle w:val="Akapitzlist"/>
        <w:ind w:left="1418"/>
        <w:rPr>
          <w:rFonts w:ascii="Times New Roman" w:hAnsi="Times New Roman" w:cs="Times New Roman"/>
          <w:sz w:val="24"/>
          <w:szCs w:val="24"/>
        </w:rPr>
      </w:pPr>
      <w:r w:rsidRPr="00E52F16">
        <w:rPr>
          <w:rFonts w:ascii="Times New Roman" w:hAnsi="Times New Roman" w:cs="Times New Roman"/>
          <w:sz w:val="24"/>
          <w:szCs w:val="24"/>
        </w:rPr>
        <w:t>- status start/stop</w:t>
      </w:r>
    </w:p>
    <w:p w14:paraId="7FB5F892"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Pokrętło do sterowania zlokalizowane na podstawie łaźni</w:t>
      </w:r>
    </w:p>
    <w:p w14:paraId="030DE4DD" w14:textId="77777777" w:rsidR="00FA2B0B" w:rsidRPr="00E52F16" w:rsidRDefault="00FA2B0B" w:rsidP="00FA2B0B">
      <w:pPr>
        <w:rPr>
          <w:rFonts w:ascii="Times New Roman" w:hAnsi="Times New Roman" w:cs="Times New Roman"/>
          <w:b/>
          <w:bCs/>
          <w:sz w:val="24"/>
          <w:szCs w:val="24"/>
        </w:rPr>
      </w:pPr>
      <w:r w:rsidRPr="00E52F16">
        <w:rPr>
          <w:rFonts w:ascii="Times New Roman" w:hAnsi="Times New Roman" w:cs="Times New Roman"/>
          <w:b/>
          <w:bCs/>
          <w:sz w:val="24"/>
          <w:szCs w:val="24"/>
        </w:rPr>
        <w:t>Chiller do chłodnicy</w:t>
      </w:r>
    </w:p>
    <w:p w14:paraId="4711B472" w14:textId="77777777" w:rsidR="00FA2B0B" w:rsidRPr="00E52F16" w:rsidRDefault="00FA2B0B" w:rsidP="00FA2B0B">
      <w:pPr>
        <w:pStyle w:val="Akapitzlist"/>
        <w:numPr>
          <w:ilvl w:val="0"/>
          <w:numId w:val="23"/>
        </w:numPr>
        <w:rPr>
          <w:rFonts w:ascii="Times New Roman" w:hAnsi="Times New Roman" w:cs="Times New Roman"/>
          <w:sz w:val="24"/>
          <w:szCs w:val="24"/>
        </w:rPr>
      </w:pPr>
      <w:r w:rsidRPr="00E52F16">
        <w:rPr>
          <w:rFonts w:ascii="Times New Roman" w:hAnsi="Times New Roman" w:cs="Times New Roman"/>
          <w:sz w:val="24"/>
          <w:szCs w:val="24"/>
        </w:rPr>
        <w:t>Zakres temperatur -10…+25</w:t>
      </w:r>
      <w:r w:rsidRPr="00E52F16">
        <w:rPr>
          <w:rFonts w:ascii="Times New Roman" w:hAnsi="Times New Roman" w:cs="Times New Roman"/>
          <w:sz w:val="24"/>
          <w:szCs w:val="24"/>
          <w:vertAlign w:val="superscript"/>
        </w:rPr>
        <w:t>o</w:t>
      </w:r>
      <w:r w:rsidRPr="00E52F16">
        <w:rPr>
          <w:rFonts w:ascii="Times New Roman" w:hAnsi="Times New Roman" w:cs="Times New Roman"/>
          <w:sz w:val="24"/>
          <w:szCs w:val="24"/>
        </w:rPr>
        <w:t>C</w:t>
      </w:r>
    </w:p>
    <w:p w14:paraId="0D44622B" w14:textId="0C39F15A"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Moc chłodzenia w 15</w:t>
      </w:r>
      <w:r w:rsidRPr="00E52F16">
        <w:rPr>
          <w:rFonts w:ascii="Times New Roman" w:hAnsi="Times New Roman" w:cs="Times New Roman"/>
          <w:sz w:val="24"/>
          <w:szCs w:val="24"/>
          <w:vertAlign w:val="superscript"/>
        </w:rPr>
        <w:t>o</w:t>
      </w:r>
      <w:r w:rsidRPr="00E52F16">
        <w:rPr>
          <w:rFonts w:ascii="Times New Roman" w:hAnsi="Times New Roman" w:cs="Times New Roman"/>
          <w:sz w:val="24"/>
          <w:szCs w:val="24"/>
        </w:rPr>
        <w:t>C min. 550</w:t>
      </w:r>
      <w:r w:rsidR="00EE05B1" w:rsidRPr="00E52F16">
        <w:rPr>
          <w:rFonts w:ascii="Times New Roman" w:hAnsi="Times New Roman" w:cs="Times New Roman"/>
          <w:sz w:val="24"/>
          <w:szCs w:val="24"/>
        </w:rPr>
        <w:t xml:space="preserve"> </w:t>
      </w:r>
      <w:r w:rsidRPr="00E52F16">
        <w:rPr>
          <w:rFonts w:ascii="Times New Roman" w:hAnsi="Times New Roman" w:cs="Times New Roman"/>
          <w:sz w:val="24"/>
          <w:szCs w:val="24"/>
        </w:rPr>
        <w:t>W; w 0</w:t>
      </w:r>
      <w:r w:rsidRPr="00E52F16">
        <w:rPr>
          <w:rFonts w:ascii="Times New Roman" w:hAnsi="Times New Roman" w:cs="Times New Roman"/>
          <w:sz w:val="24"/>
          <w:szCs w:val="24"/>
          <w:vertAlign w:val="superscript"/>
        </w:rPr>
        <w:t>o</w:t>
      </w:r>
      <w:r w:rsidRPr="00E52F16">
        <w:rPr>
          <w:rFonts w:ascii="Times New Roman" w:hAnsi="Times New Roman" w:cs="Times New Roman"/>
          <w:sz w:val="24"/>
          <w:szCs w:val="24"/>
        </w:rPr>
        <w:t>C min. 250</w:t>
      </w:r>
      <w:r w:rsidR="00EE05B1" w:rsidRPr="00E52F16">
        <w:rPr>
          <w:rFonts w:ascii="Times New Roman" w:hAnsi="Times New Roman" w:cs="Times New Roman"/>
          <w:sz w:val="24"/>
          <w:szCs w:val="24"/>
        </w:rPr>
        <w:t xml:space="preserve"> </w:t>
      </w:r>
      <w:r w:rsidRPr="00E52F16">
        <w:rPr>
          <w:rFonts w:ascii="Times New Roman" w:hAnsi="Times New Roman" w:cs="Times New Roman"/>
          <w:sz w:val="24"/>
          <w:szCs w:val="24"/>
        </w:rPr>
        <w:t>W</w:t>
      </w:r>
    </w:p>
    <w:p w14:paraId="1376D38E" w14:textId="77777777"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Rozdzielczość temperatury 0.1</w:t>
      </w:r>
      <w:r w:rsidRPr="00E52F16">
        <w:rPr>
          <w:rFonts w:ascii="Times New Roman" w:hAnsi="Times New Roman" w:cs="Times New Roman"/>
          <w:sz w:val="24"/>
          <w:szCs w:val="24"/>
          <w:vertAlign w:val="superscript"/>
        </w:rPr>
        <w:t>o</w:t>
      </w:r>
      <w:r w:rsidRPr="00E52F16">
        <w:rPr>
          <w:rFonts w:ascii="Times New Roman" w:hAnsi="Times New Roman" w:cs="Times New Roman"/>
          <w:sz w:val="24"/>
          <w:szCs w:val="24"/>
        </w:rPr>
        <w:t>C</w:t>
      </w:r>
    </w:p>
    <w:p w14:paraId="509EB072" w14:textId="022C1994"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Pojemność zbiornika min. 3.0</w:t>
      </w:r>
      <w:r w:rsidR="00EE05B1" w:rsidRPr="00E52F16">
        <w:rPr>
          <w:rFonts w:ascii="Times New Roman" w:hAnsi="Times New Roman" w:cs="Times New Roman"/>
          <w:sz w:val="24"/>
          <w:szCs w:val="24"/>
        </w:rPr>
        <w:t xml:space="preserve"> </w:t>
      </w:r>
      <w:r w:rsidRPr="00E52F16">
        <w:rPr>
          <w:rFonts w:ascii="Times New Roman" w:hAnsi="Times New Roman" w:cs="Times New Roman"/>
          <w:sz w:val="24"/>
          <w:szCs w:val="24"/>
        </w:rPr>
        <w:t>L</w:t>
      </w:r>
    </w:p>
    <w:p w14:paraId="72E3F8A7" w14:textId="60F1DD4F"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Min. wydajność pompy 2.5</w:t>
      </w:r>
      <w:r w:rsidR="005154B8" w:rsidRPr="00E52F16">
        <w:rPr>
          <w:rFonts w:ascii="Times New Roman" w:hAnsi="Times New Roman" w:cs="Times New Roman"/>
          <w:sz w:val="24"/>
          <w:szCs w:val="24"/>
        </w:rPr>
        <w:t xml:space="preserve"> </w:t>
      </w:r>
      <w:r w:rsidRPr="00E52F16">
        <w:rPr>
          <w:rFonts w:ascii="Times New Roman" w:hAnsi="Times New Roman" w:cs="Times New Roman"/>
          <w:sz w:val="24"/>
          <w:szCs w:val="24"/>
        </w:rPr>
        <w:t>L/min</w:t>
      </w:r>
    </w:p>
    <w:p w14:paraId="2EC70672" w14:textId="77777777"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Max. ciśnienie pompy 0.6 bar</w:t>
      </w:r>
    </w:p>
    <w:p w14:paraId="244F0CEC" w14:textId="77777777"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Wyświetlacz cyfrowy</w:t>
      </w:r>
    </w:p>
    <w:p w14:paraId="07AF747B" w14:textId="77777777"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Pokrętło do regulacji ustawień</w:t>
      </w:r>
    </w:p>
    <w:p w14:paraId="711455BE" w14:textId="77777777"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Możliwość zablokowania temperatury w celu uniknięcia przypadkowej zmiany wartości</w:t>
      </w:r>
    </w:p>
    <w:p w14:paraId="342A49AB" w14:textId="77777777"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Funkcja automatycznego zatrzymania po zakończonej destylacji</w:t>
      </w:r>
    </w:p>
    <w:p w14:paraId="5558F179" w14:textId="77777777"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Funkcja eko pomiędzy kolejnymi destylacjami, rozłączająca chiller po osiągnięciu zadanej temperatury</w:t>
      </w:r>
    </w:p>
    <w:p w14:paraId="50348C51" w14:textId="77777777"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Wymiary max. 280x500x400 (WxDxH)</w:t>
      </w:r>
    </w:p>
    <w:p w14:paraId="0AF7E5B5" w14:textId="77777777" w:rsidR="00FA2B0B" w:rsidRPr="00E52F16" w:rsidRDefault="00FA2B0B" w:rsidP="00FA2B0B">
      <w:pPr>
        <w:pStyle w:val="Akapitzlist"/>
        <w:numPr>
          <w:ilvl w:val="0"/>
          <w:numId w:val="22"/>
        </w:numPr>
        <w:rPr>
          <w:rFonts w:ascii="Times New Roman" w:hAnsi="Times New Roman" w:cs="Times New Roman"/>
          <w:sz w:val="24"/>
          <w:szCs w:val="24"/>
        </w:rPr>
      </w:pPr>
      <w:r w:rsidRPr="00E52F16">
        <w:rPr>
          <w:rFonts w:ascii="Times New Roman" w:hAnsi="Times New Roman" w:cs="Times New Roman"/>
          <w:sz w:val="24"/>
          <w:szCs w:val="24"/>
        </w:rPr>
        <w:t>Waga max. 31 kg</w:t>
      </w:r>
    </w:p>
    <w:p w14:paraId="633401E8" w14:textId="77777777" w:rsidR="00FA2B0B" w:rsidRPr="00E52F16" w:rsidRDefault="00FA2B0B" w:rsidP="00FA2B0B">
      <w:pPr>
        <w:rPr>
          <w:rFonts w:ascii="Times New Roman" w:hAnsi="Times New Roman" w:cs="Times New Roman"/>
          <w:b/>
          <w:bCs/>
          <w:sz w:val="24"/>
          <w:szCs w:val="24"/>
        </w:rPr>
      </w:pPr>
      <w:r w:rsidRPr="00E52F16">
        <w:rPr>
          <w:rFonts w:ascii="Times New Roman" w:hAnsi="Times New Roman" w:cs="Times New Roman"/>
          <w:b/>
          <w:bCs/>
          <w:sz w:val="24"/>
          <w:szCs w:val="24"/>
        </w:rPr>
        <w:t xml:space="preserve">Cyfrowy regulator </w:t>
      </w:r>
    </w:p>
    <w:p w14:paraId="5D3A011D"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Dotykowy, kolorowy wyświetlacz 7”</w:t>
      </w:r>
    </w:p>
    <w:p w14:paraId="15499B97"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Sterowanie dotykowe lub za pomocą pokrętła</w:t>
      </w:r>
    </w:p>
    <w:p w14:paraId="43E2B278"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Komunikacja z wyparką, chillerem oraz pompą próżniową</w:t>
      </w:r>
    </w:p>
    <w:p w14:paraId="6AE56B6D"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Wyświetlanie wszystkich parametrów procesu ( temperatura, ciśnienie, prędkość obrotowa, temperatura łaźni, temperatura chillera, poziom zanurzenia, temperatura oparów- z wykorzystaniem czujnika temperatury)</w:t>
      </w:r>
    </w:p>
    <w:p w14:paraId="7E571986"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Możliwość sterowania wartością próżni, temperaturą łaźni, temperaturą chillera, prędkością obrotową, poziomem zanurzenia</w:t>
      </w:r>
    </w:p>
    <w:p w14:paraId="6E7B1D4B"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Automatyczne zapowietrzanie układu w przypadku wzrostu ciśnienia</w:t>
      </w:r>
    </w:p>
    <w:p w14:paraId="041FAA94"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Automatyczny test szczelności układu</w:t>
      </w:r>
    </w:p>
    <w:p w14:paraId="4DDFABA2"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Złącze LAN do podłączenia sieciowego</w:t>
      </w:r>
    </w:p>
    <w:p w14:paraId="18C844B7" w14:textId="6B215219" w:rsidR="00FA2B0B" w:rsidRPr="00E52F16" w:rsidRDefault="00342425"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Umożlwiający</w:t>
      </w:r>
      <w:r w:rsidR="00FA2B0B" w:rsidRPr="00E52F16">
        <w:rPr>
          <w:rFonts w:ascii="Times New Roman" w:hAnsi="Times New Roman" w:cs="Times New Roman"/>
          <w:sz w:val="24"/>
          <w:szCs w:val="24"/>
        </w:rPr>
        <w:t xml:space="preserve"> wybór pracy w trybie ręcznym, czasowym (timer), ciągłym, suszenia, metody</w:t>
      </w:r>
    </w:p>
    <w:p w14:paraId="5600D24F"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Możliwość konfiguracji i zapisu własnych metod</w:t>
      </w:r>
    </w:p>
    <w:p w14:paraId="7890F285"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Możliwość wyboru rozpuszczalnika z biblioteki rozpuszczalników</w:t>
      </w:r>
    </w:p>
    <w:p w14:paraId="6BB4BFA4"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Automatyczny dobór podciśnienia w zależności od ustawionej temperatury chillera oraz łaźni grzewczej</w:t>
      </w:r>
    </w:p>
    <w:p w14:paraId="1028E301"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lastRenderedPageBreak/>
        <w:t>Możliwość pracy w trybie suszenia (zmiana kierunku obrotów kolby w określonym interwale czasowym)</w:t>
      </w:r>
    </w:p>
    <w:p w14:paraId="0B994A8C"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 xml:space="preserve">Funkcja automatycznej destylacji </w:t>
      </w:r>
    </w:p>
    <w:p w14:paraId="12CDA4A5"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Dynamiczna kontrola pompy próżniowej; sterowanie prędkością pompy</w:t>
      </w:r>
    </w:p>
    <w:p w14:paraId="763201DD"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Graficzne przedstawienie procesu destylacji na wykresie</w:t>
      </w:r>
    </w:p>
    <w:p w14:paraId="777E76C4"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Zapis oraz możliwość eksportu danych na karcie SD</w:t>
      </w:r>
    </w:p>
    <w:p w14:paraId="499F243B"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Możliwość rozszerzenia biblioteki rozpuszczalników do 60 pozycji</w:t>
      </w:r>
    </w:p>
    <w:p w14:paraId="793DBBFA"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Automatyczne przerwanie destylacji oraz podniesienie kolby wyparnej w przypadku awarii/zaniku zasilania</w:t>
      </w:r>
    </w:p>
    <w:p w14:paraId="50617023"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Możliwość określenia zachowania systemu przy starcie oraz zakończeniu destylacji</w:t>
      </w:r>
    </w:p>
    <w:p w14:paraId="4517D48B"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Możliwość zdalnego wgrywania aktualizacji oprogramowania przy zastosowaniu połączenia bluetooth</w:t>
      </w:r>
    </w:p>
    <w:p w14:paraId="3E41AC91"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Możliwość połączenia z telefonem komórkowym z wykorzystaniem dedykowanej darmowej aplikacji</w:t>
      </w:r>
    </w:p>
    <w:p w14:paraId="788608DE"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Możliwość podłączenia czujnika piany, diody sygnalizacyjnej</w:t>
      </w:r>
    </w:p>
    <w:p w14:paraId="490F36D1" w14:textId="77777777" w:rsidR="00FA2B0B" w:rsidRPr="00E52F16" w:rsidRDefault="00FA2B0B" w:rsidP="00FA2B0B">
      <w:pPr>
        <w:pStyle w:val="Akapitzlist"/>
        <w:numPr>
          <w:ilvl w:val="0"/>
          <w:numId w:val="24"/>
        </w:numPr>
        <w:rPr>
          <w:rFonts w:ascii="Times New Roman" w:hAnsi="Times New Roman" w:cs="Times New Roman"/>
          <w:sz w:val="24"/>
          <w:szCs w:val="24"/>
        </w:rPr>
      </w:pPr>
      <w:r w:rsidRPr="00E52F16">
        <w:rPr>
          <w:rFonts w:ascii="Times New Roman" w:hAnsi="Times New Roman" w:cs="Times New Roman"/>
          <w:sz w:val="24"/>
          <w:szCs w:val="24"/>
        </w:rPr>
        <w:t>Możliwość zastosowania automatycznej diagnostyki urządzenia oraz kalibracji</w:t>
      </w:r>
    </w:p>
    <w:p w14:paraId="4C01BE27" w14:textId="77777777" w:rsidR="00FA2B0B" w:rsidRPr="00E52F16" w:rsidRDefault="00FA2B0B" w:rsidP="00FA2B0B">
      <w:pPr>
        <w:rPr>
          <w:rFonts w:ascii="Times New Roman" w:hAnsi="Times New Roman" w:cs="Times New Roman"/>
          <w:b/>
          <w:bCs/>
          <w:sz w:val="24"/>
          <w:szCs w:val="24"/>
        </w:rPr>
      </w:pPr>
      <w:r w:rsidRPr="00E52F16">
        <w:rPr>
          <w:rFonts w:ascii="Times New Roman" w:hAnsi="Times New Roman" w:cs="Times New Roman"/>
          <w:b/>
          <w:bCs/>
          <w:sz w:val="24"/>
          <w:szCs w:val="24"/>
        </w:rPr>
        <w:t>Membranowa pompa próżniowa, chemoodporna:</w:t>
      </w:r>
    </w:p>
    <w:p w14:paraId="79E8C80A"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Liczba stopni: 2</w:t>
      </w:r>
    </w:p>
    <w:p w14:paraId="724F1AB8"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Ilość głowic: 2</w:t>
      </w:r>
    </w:p>
    <w:p w14:paraId="5FC1050B"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Membrany pompy wykonane z PTFE - chemicznie odporne</w:t>
      </w:r>
    </w:p>
    <w:p w14:paraId="0AEB6F1C"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Próżnia końcowa 5 mbar ±2 mbar</w:t>
      </w:r>
    </w:p>
    <w:p w14:paraId="05123F2C"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Wydajność min. 1,8 m</w:t>
      </w:r>
      <w:r w:rsidRPr="00E52F16">
        <w:rPr>
          <w:rFonts w:ascii="Times New Roman" w:hAnsi="Times New Roman" w:cs="Times New Roman"/>
          <w:sz w:val="24"/>
          <w:szCs w:val="24"/>
          <w:vertAlign w:val="superscript"/>
        </w:rPr>
        <w:t>3</w:t>
      </w:r>
      <w:r w:rsidRPr="00E52F16">
        <w:rPr>
          <w:rFonts w:ascii="Times New Roman" w:hAnsi="Times New Roman" w:cs="Times New Roman"/>
          <w:sz w:val="24"/>
          <w:szCs w:val="24"/>
        </w:rPr>
        <w:t>/h</w:t>
      </w:r>
    </w:p>
    <w:p w14:paraId="280E1EBA"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Wymiary max. 200x325z295</w:t>
      </w:r>
    </w:p>
    <w:p w14:paraId="40BD91B3"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Waga max. 8 kg</w:t>
      </w:r>
    </w:p>
    <w:p w14:paraId="438B487C"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Złącze próżniowe GL14</w:t>
      </w:r>
    </w:p>
    <w:p w14:paraId="51688953"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Max. poziom głośności (10% obciążenie) 32dBA</w:t>
      </w:r>
    </w:p>
    <w:p w14:paraId="32690B8C"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Max. prędkość 1500 rpm</w:t>
      </w:r>
    </w:p>
    <w:p w14:paraId="02ECBDE6" w14:textId="5B1BB2A9"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Zużycie mocy max. 100</w:t>
      </w:r>
      <w:r w:rsidR="00342425" w:rsidRPr="00E52F16">
        <w:rPr>
          <w:rFonts w:ascii="Times New Roman" w:hAnsi="Times New Roman" w:cs="Times New Roman"/>
          <w:sz w:val="24"/>
          <w:szCs w:val="24"/>
        </w:rPr>
        <w:t xml:space="preserve"> </w:t>
      </w:r>
      <w:r w:rsidRPr="00E52F16">
        <w:rPr>
          <w:rFonts w:ascii="Times New Roman" w:hAnsi="Times New Roman" w:cs="Times New Roman"/>
          <w:sz w:val="24"/>
          <w:szCs w:val="24"/>
        </w:rPr>
        <w:t>W</w:t>
      </w:r>
    </w:p>
    <w:p w14:paraId="4F3DD155"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Z przodu pompy szklane okno inspekcyjne umożliwiające obserwację membran (gromadzenie się rozpuszczalników)</w:t>
      </w:r>
    </w:p>
    <w:p w14:paraId="11948D3D" w14:textId="77777777" w:rsidR="00FA2B0B" w:rsidRPr="00E52F16" w:rsidRDefault="00FA2B0B" w:rsidP="00FA2B0B">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Złącze do usuwania rozpuszczalnika z membran</w:t>
      </w:r>
    </w:p>
    <w:p w14:paraId="253880E8" w14:textId="54B7ADEF" w:rsidR="00FA2B0B" w:rsidRPr="00E52F16" w:rsidRDefault="00FA2B0B" w:rsidP="005154B8">
      <w:pPr>
        <w:pStyle w:val="Akapitzlist"/>
        <w:numPr>
          <w:ilvl w:val="0"/>
          <w:numId w:val="21"/>
        </w:numPr>
        <w:rPr>
          <w:rFonts w:ascii="Times New Roman" w:hAnsi="Times New Roman" w:cs="Times New Roman"/>
          <w:sz w:val="24"/>
          <w:szCs w:val="24"/>
        </w:rPr>
      </w:pPr>
      <w:r w:rsidRPr="00E52F16">
        <w:rPr>
          <w:rFonts w:ascii="Times New Roman" w:hAnsi="Times New Roman" w:cs="Times New Roman"/>
          <w:sz w:val="24"/>
          <w:szCs w:val="24"/>
        </w:rPr>
        <w:t>Tłumik hałasu na wyjściu z pompy</w:t>
      </w:r>
    </w:p>
    <w:p w14:paraId="6A16B97E" w14:textId="77777777" w:rsidR="00FA2B0B" w:rsidRPr="00E52F16" w:rsidRDefault="00FA2B0B" w:rsidP="00FA2B0B">
      <w:pPr>
        <w:rPr>
          <w:rFonts w:ascii="Times New Roman" w:hAnsi="Times New Roman" w:cs="Times New Roman"/>
          <w:b/>
          <w:bCs/>
          <w:sz w:val="24"/>
          <w:szCs w:val="24"/>
        </w:rPr>
      </w:pPr>
      <w:r w:rsidRPr="00E52F16">
        <w:rPr>
          <w:rFonts w:ascii="Times New Roman" w:hAnsi="Times New Roman" w:cs="Times New Roman"/>
          <w:b/>
          <w:bCs/>
          <w:sz w:val="24"/>
          <w:szCs w:val="24"/>
        </w:rPr>
        <w:t>Gwarancja oraz serwis</w:t>
      </w:r>
    </w:p>
    <w:p w14:paraId="04D716D4" w14:textId="77777777" w:rsidR="00FA2B0B" w:rsidRPr="00E52F16" w:rsidRDefault="00FA2B0B" w:rsidP="005154B8">
      <w:pPr>
        <w:pStyle w:val="Akapitzlist"/>
        <w:numPr>
          <w:ilvl w:val="0"/>
          <w:numId w:val="25"/>
        </w:numPr>
        <w:spacing w:after="0"/>
        <w:ind w:left="714" w:hanging="357"/>
        <w:rPr>
          <w:rFonts w:ascii="Times New Roman" w:hAnsi="Times New Roman" w:cs="Times New Roman"/>
          <w:sz w:val="24"/>
          <w:szCs w:val="24"/>
        </w:rPr>
      </w:pPr>
      <w:r w:rsidRPr="00E52F16">
        <w:rPr>
          <w:rFonts w:ascii="Times New Roman" w:hAnsi="Times New Roman" w:cs="Times New Roman"/>
          <w:sz w:val="24"/>
          <w:szCs w:val="24"/>
        </w:rPr>
        <w:t>Gwarancja min. 12 miesięcy</w:t>
      </w:r>
    </w:p>
    <w:p w14:paraId="682DB4D9" w14:textId="77777777" w:rsidR="005154B8" w:rsidRPr="00E52F16" w:rsidRDefault="00FA2B0B" w:rsidP="005154B8">
      <w:pPr>
        <w:pStyle w:val="Akapitzlist"/>
        <w:numPr>
          <w:ilvl w:val="0"/>
          <w:numId w:val="24"/>
        </w:numPr>
        <w:spacing w:after="0"/>
        <w:ind w:left="714" w:hanging="357"/>
        <w:jc w:val="both"/>
        <w:rPr>
          <w:rFonts w:ascii="Times New Roman" w:hAnsi="Times New Roman" w:cs="Times New Roman"/>
          <w:sz w:val="24"/>
          <w:szCs w:val="24"/>
        </w:rPr>
      </w:pPr>
      <w:r w:rsidRPr="00E52F16">
        <w:rPr>
          <w:rFonts w:ascii="Times New Roman" w:hAnsi="Times New Roman" w:cs="Times New Roman"/>
          <w:sz w:val="24"/>
          <w:szCs w:val="24"/>
        </w:rPr>
        <w:t>Wymagany dostęp do wykwalifikowanego serwisu</w:t>
      </w:r>
      <w:r w:rsidR="005154B8" w:rsidRPr="00E52F16">
        <w:rPr>
          <w:rFonts w:ascii="Times New Roman" w:hAnsi="Times New Roman" w:cs="Times New Roman"/>
          <w:sz w:val="24"/>
          <w:szCs w:val="24"/>
        </w:rPr>
        <w:t>.</w:t>
      </w:r>
    </w:p>
    <w:p w14:paraId="5B477F77" w14:textId="77777777" w:rsidR="005154B8" w:rsidRPr="00E52F16" w:rsidRDefault="005154B8" w:rsidP="005154B8">
      <w:pPr>
        <w:pStyle w:val="Akapitzlist"/>
        <w:numPr>
          <w:ilvl w:val="0"/>
          <w:numId w:val="24"/>
        </w:numPr>
        <w:tabs>
          <w:tab w:val="left" w:pos="142"/>
        </w:tabs>
        <w:suppressAutoHyphens/>
        <w:autoSpaceDN w:val="0"/>
        <w:spacing w:after="0" w:line="360" w:lineRule="auto"/>
        <w:ind w:left="714" w:hanging="357"/>
        <w:contextualSpacing w:val="0"/>
        <w:jc w:val="both"/>
        <w:textAlignment w:val="baseline"/>
        <w:rPr>
          <w:rFonts w:ascii="Times New Roman" w:hAnsi="Times New Roman" w:cs="Times New Roman"/>
          <w:bCs/>
          <w:sz w:val="24"/>
          <w:szCs w:val="24"/>
        </w:rPr>
      </w:pPr>
      <w:r w:rsidRPr="00E52F16">
        <w:rPr>
          <w:rFonts w:ascii="Times New Roman" w:hAnsi="Times New Roman" w:cs="Times New Roman"/>
          <w:sz w:val="24"/>
          <w:szCs w:val="24"/>
        </w:rPr>
        <w:t>Czas naprawy od momentu zgłoszenia do 14 dni roboczych.</w:t>
      </w:r>
    </w:p>
    <w:p w14:paraId="18A55562" w14:textId="7B0072F8" w:rsidR="00FA2B0B" w:rsidRPr="00320AE4" w:rsidRDefault="00FA2B0B" w:rsidP="005154B8">
      <w:pPr>
        <w:pStyle w:val="Akapitzlist"/>
        <w:numPr>
          <w:ilvl w:val="0"/>
          <w:numId w:val="24"/>
        </w:numPr>
        <w:tabs>
          <w:tab w:val="left" w:pos="142"/>
        </w:tabs>
        <w:suppressAutoHyphens/>
        <w:autoSpaceDN w:val="0"/>
        <w:spacing w:after="0" w:line="360" w:lineRule="auto"/>
        <w:ind w:left="714" w:hanging="357"/>
        <w:contextualSpacing w:val="0"/>
        <w:jc w:val="both"/>
        <w:textAlignment w:val="baseline"/>
        <w:rPr>
          <w:rFonts w:ascii="Times New Roman" w:hAnsi="Times New Roman" w:cs="Times New Roman"/>
          <w:bCs/>
          <w:sz w:val="24"/>
          <w:szCs w:val="24"/>
        </w:rPr>
      </w:pPr>
      <w:r w:rsidRPr="00E52F16">
        <w:rPr>
          <w:rFonts w:ascii="Times New Roman" w:hAnsi="Times New Roman" w:cs="Times New Roman"/>
          <w:sz w:val="24"/>
          <w:szCs w:val="24"/>
        </w:rPr>
        <w:t>Dostawca zapewnia przeglądy techniczne oraz dostęp części zamiennych do dostarczonego urządzenia przez minimum 10 lat od daty dostarczenia. Zapewniony serwis gwarancyjny i pogwarancyjny przez 10 lat.</w:t>
      </w:r>
    </w:p>
    <w:p w14:paraId="660BBE69" w14:textId="77777777" w:rsidR="00320AE4" w:rsidRDefault="00320AE4" w:rsidP="00320AE4">
      <w:pPr>
        <w:tabs>
          <w:tab w:val="left" w:pos="142"/>
        </w:tabs>
        <w:suppressAutoHyphens/>
        <w:autoSpaceDN w:val="0"/>
        <w:spacing w:after="0" w:line="360" w:lineRule="auto"/>
        <w:jc w:val="both"/>
        <w:textAlignment w:val="baseline"/>
        <w:rPr>
          <w:rFonts w:ascii="Times New Roman" w:hAnsi="Times New Roman" w:cs="Times New Roman"/>
          <w:bCs/>
          <w:sz w:val="24"/>
          <w:szCs w:val="24"/>
        </w:rPr>
      </w:pPr>
    </w:p>
    <w:p w14:paraId="5FB9FC41" w14:textId="77777777" w:rsidR="00320AE4" w:rsidRDefault="00320AE4" w:rsidP="00320AE4">
      <w:pPr>
        <w:tabs>
          <w:tab w:val="left" w:pos="142"/>
        </w:tabs>
        <w:suppressAutoHyphens/>
        <w:autoSpaceDN w:val="0"/>
        <w:spacing w:after="0" w:line="360" w:lineRule="auto"/>
        <w:jc w:val="both"/>
        <w:textAlignment w:val="baseline"/>
        <w:rPr>
          <w:rFonts w:ascii="Times New Roman" w:hAnsi="Times New Roman" w:cs="Times New Roman"/>
          <w:bCs/>
          <w:sz w:val="24"/>
          <w:szCs w:val="24"/>
        </w:rPr>
      </w:pPr>
    </w:p>
    <w:p w14:paraId="6B0F6693" w14:textId="77777777" w:rsidR="00320AE4" w:rsidRPr="00320AE4" w:rsidRDefault="00320AE4" w:rsidP="00320AE4">
      <w:pPr>
        <w:tabs>
          <w:tab w:val="left" w:pos="142"/>
        </w:tabs>
        <w:suppressAutoHyphens/>
        <w:autoSpaceDN w:val="0"/>
        <w:spacing w:after="0" w:line="360" w:lineRule="auto"/>
        <w:jc w:val="both"/>
        <w:textAlignment w:val="baseline"/>
        <w:rPr>
          <w:rFonts w:ascii="Times New Roman" w:hAnsi="Times New Roman" w:cs="Times New Roman"/>
          <w:b/>
          <w:bCs/>
          <w:sz w:val="24"/>
          <w:szCs w:val="24"/>
        </w:rPr>
      </w:pPr>
      <w:r w:rsidRPr="00320AE4">
        <w:rPr>
          <w:rFonts w:ascii="Times New Roman" w:hAnsi="Times New Roman" w:cs="Times New Roman"/>
          <w:b/>
          <w:bCs/>
          <w:sz w:val="24"/>
          <w:szCs w:val="24"/>
        </w:rPr>
        <w:lastRenderedPageBreak/>
        <w:t xml:space="preserve">Kryteria oceny ofert: </w:t>
      </w:r>
    </w:p>
    <w:p w14:paraId="48DF1395" w14:textId="77777777" w:rsidR="00320AE4" w:rsidRPr="00320AE4" w:rsidRDefault="00320AE4" w:rsidP="00320AE4">
      <w:pPr>
        <w:numPr>
          <w:ilvl w:val="0"/>
          <w:numId w:val="26"/>
        </w:numPr>
        <w:tabs>
          <w:tab w:val="left" w:pos="142"/>
        </w:tabs>
        <w:suppressAutoHyphens/>
        <w:autoSpaceDN w:val="0"/>
        <w:spacing w:after="0" w:line="360" w:lineRule="auto"/>
        <w:jc w:val="both"/>
        <w:textAlignment w:val="baseline"/>
        <w:rPr>
          <w:rFonts w:ascii="Times New Roman" w:hAnsi="Times New Roman" w:cs="Times New Roman"/>
          <w:bCs/>
          <w:sz w:val="24"/>
          <w:szCs w:val="24"/>
        </w:rPr>
      </w:pPr>
      <w:r w:rsidRPr="00320AE4">
        <w:rPr>
          <w:rFonts w:ascii="Times New Roman" w:hAnsi="Times New Roman" w:cs="Times New Roman"/>
          <w:bCs/>
          <w:sz w:val="24"/>
          <w:szCs w:val="24"/>
        </w:rPr>
        <w:t xml:space="preserve">Cena </w:t>
      </w:r>
      <w:r w:rsidRPr="00320AE4">
        <w:rPr>
          <w:rFonts w:ascii="Times New Roman" w:hAnsi="Times New Roman" w:cs="Times New Roman"/>
          <w:b/>
          <w:bCs/>
          <w:sz w:val="24"/>
          <w:szCs w:val="24"/>
        </w:rPr>
        <w:t>60%</w:t>
      </w:r>
      <w:r w:rsidRPr="00320AE4">
        <w:rPr>
          <w:rFonts w:ascii="Times New Roman" w:hAnsi="Times New Roman" w:cs="Times New Roman"/>
          <w:bCs/>
          <w:sz w:val="24"/>
          <w:szCs w:val="24"/>
        </w:rPr>
        <w:t xml:space="preserve"> </w:t>
      </w:r>
    </w:p>
    <w:p w14:paraId="30FF278D" w14:textId="77777777" w:rsidR="00320AE4" w:rsidRPr="00320AE4" w:rsidRDefault="00320AE4" w:rsidP="00320AE4">
      <w:pPr>
        <w:numPr>
          <w:ilvl w:val="0"/>
          <w:numId w:val="26"/>
        </w:numPr>
        <w:tabs>
          <w:tab w:val="left" w:pos="142"/>
        </w:tabs>
        <w:suppressAutoHyphens/>
        <w:autoSpaceDN w:val="0"/>
        <w:spacing w:after="0" w:line="360" w:lineRule="auto"/>
        <w:jc w:val="both"/>
        <w:textAlignment w:val="baseline"/>
        <w:rPr>
          <w:rFonts w:ascii="Times New Roman" w:hAnsi="Times New Roman" w:cs="Times New Roman"/>
          <w:b/>
          <w:bCs/>
          <w:sz w:val="24"/>
          <w:szCs w:val="24"/>
        </w:rPr>
      </w:pPr>
      <w:r w:rsidRPr="00320AE4">
        <w:rPr>
          <w:rFonts w:ascii="Times New Roman" w:hAnsi="Times New Roman" w:cs="Times New Roman"/>
          <w:bCs/>
          <w:sz w:val="24"/>
          <w:szCs w:val="24"/>
        </w:rPr>
        <w:t xml:space="preserve">Dokładność budowania gradientu eluentów </w:t>
      </w:r>
      <w:r w:rsidRPr="00320AE4">
        <w:rPr>
          <w:rFonts w:ascii="Times New Roman" w:hAnsi="Times New Roman" w:cs="Times New Roman"/>
          <w:b/>
          <w:bCs/>
          <w:sz w:val="24"/>
          <w:szCs w:val="24"/>
        </w:rPr>
        <w:t>20%</w:t>
      </w:r>
    </w:p>
    <w:p w14:paraId="479D1FB1" w14:textId="77777777" w:rsidR="00320AE4" w:rsidRPr="00320AE4" w:rsidRDefault="00320AE4" w:rsidP="00320AE4">
      <w:pPr>
        <w:tabs>
          <w:tab w:val="left" w:pos="142"/>
        </w:tabs>
        <w:suppressAutoHyphens/>
        <w:autoSpaceDN w:val="0"/>
        <w:spacing w:after="0" w:line="360" w:lineRule="auto"/>
        <w:jc w:val="both"/>
        <w:textAlignment w:val="baseline"/>
        <w:rPr>
          <w:rFonts w:ascii="Times New Roman" w:hAnsi="Times New Roman" w:cs="Times New Roman"/>
          <w:bCs/>
          <w:sz w:val="24"/>
          <w:szCs w:val="24"/>
        </w:rPr>
      </w:pPr>
      <w:r w:rsidRPr="00320AE4">
        <w:rPr>
          <w:rFonts w:ascii="Times New Roman" w:hAnsi="Times New Roman" w:cs="Times New Roman"/>
          <w:bCs/>
          <w:sz w:val="24"/>
          <w:szCs w:val="24"/>
        </w:rPr>
        <w:t xml:space="preserve">- ≤1% </w:t>
      </w:r>
      <w:r w:rsidRPr="00320AE4">
        <w:rPr>
          <w:rFonts w:ascii="Times New Roman" w:hAnsi="Times New Roman" w:cs="Times New Roman"/>
          <w:b/>
          <w:bCs/>
          <w:sz w:val="24"/>
          <w:szCs w:val="24"/>
        </w:rPr>
        <w:t>20 pkt.</w:t>
      </w:r>
    </w:p>
    <w:p w14:paraId="71D5B079" w14:textId="77777777" w:rsidR="00320AE4" w:rsidRPr="00320AE4" w:rsidRDefault="00320AE4" w:rsidP="00320AE4">
      <w:pPr>
        <w:tabs>
          <w:tab w:val="left" w:pos="142"/>
        </w:tabs>
        <w:suppressAutoHyphens/>
        <w:autoSpaceDN w:val="0"/>
        <w:spacing w:after="0" w:line="360" w:lineRule="auto"/>
        <w:jc w:val="both"/>
        <w:textAlignment w:val="baseline"/>
        <w:rPr>
          <w:rFonts w:ascii="Times New Roman" w:hAnsi="Times New Roman" w:cs="Times New Roman"/>
          <w:b/>
          <w:bCs/>
          <w:sz w:val="24"/>
          <w:szCs w:val="24"/>
        </w:rPr>
      </w:pPr>
      <w:r w:rsidRPr="00320AE4">
        <w:rPr>
          <w:rFonts w:ascii="Times New Roman" w:hAnsi="Times New Roman" w:cs="Times New Roman"/>
          <w:bCs/>
          <w:sz w:val="24"/>
          <w:szCs w:val="24"/>
        </w:rPr>
        <w:t xml:space="preserve">- od 1.01% do 1.99%. </w:t>
      </w:r>
      <w:r w:rsidRPr="00320AE4">
        <w:rPr>
          <w:rFonts w:ascii="Times New Roman" w:hAnsi="Times New Roman" w:cs="Times New Roman"/>
          <w:b/>
          <w:bCs/>
          <w:sz w:val="24"/>
          <w:szCs w:val="24"/>
        </w:rPr>
        <w:t>10 pkt.</w:t>
      </w:r>
    </w:p>
    <w:p w14:paraId="2DE016BB" w14:textId="77777777" w:rsidR="00320AE4" w:rsidRPr="00320AE4" w:rsidRDefault="00320AE4" w:rsidP="00320AE4">
      <w:pPr>
        <w:tabs>
          <w:tab w:val="left" w:pos="142"/>
        </w:tabs>
        <w:suppressAutoHyphens/>
        <w:autoSpaceDN w:val="0"/>
        <w:spacing w:after="0" w:line="360" w:lineRule="auto"/>
        <w:jc w:val="both"/>
        <w:textAlignment w:val="baseline"/>
        <w:rPr>
          <w:rFonts w:ascii="Times New Roman" w:hAnsi="Times New Roman" w:cs="Times New Roman"/>
          <w:bCs/>
          <w:sz w:val="24"/>
          <w:szCs w:val="24"/>
        </w:rPr>
      </w:pPr>
      <w:r w:rsidRPr="00320AE4">
        <w:rPr>
          <w:rFonts w:ascii="Times New Roman" w:hAnsi="Times New Roman" w:cs="Times New Roman"/>
          <w:b/>
          <w:bCs/>
          <w:sz w:val="24"/>
          <w:szCs w:val="24"/>
        </w:rPr>
        <w:t xml:space="preserve">- </w:t>
      </w:r>
      <w:r w:rsidRPr="00320AE4">
        <w:rPr>
          <w:rFonts w:ascii="Times New Roman" w:hAnsi="Times New Roman" w:cs="Times New Roman"/>
          <w:bCs/>
          <w:sz w:val="24"/>
          <w:szCs w:val="24"/>
        </w:rPr>
        <w:t>≥2%</w:t>
      </w:r>
      <w:r w:rsidRPr="00320AE4">
        <w:rPr>
          <w:rFonts w:ascii="Times New Roman" w:hAnsi="Times New Roman" w:cs="Times New Roman"/>
          <w:b/>
          <w:bCs/>
          <w:sz w:val="24"/>
          <w:szCs w:val="24"/>
        </w:rPr>
        <w:t xml:space="preserve"> 0 pkt.</w:t>
      </w:r>
    </w:p>
    <w:p w14:paraId="08D4D8AE" w14:textId="77777777" w:rsidR="00320AE4" w:rsidRPr="00320AE4" w:rsidRDefault="00320AE4" w:rsidP="00320AE4">
      <w:pPr>
        <w:numPr>
          <w:ilvl w:val="0"/>
          <w:numId w:val="26"/>
        </w:numPr>
        <w:tabs>
          <w:tab w:val="left" w:pos="142"/>
        </w:tabs>
        <w:suppressAutoHyphens/>
        <w:autoSpaceDN w:val="0"/>
        <w:spacing w:after="0" w:line="360" w:lineRule="auto"/>
        <w:jc w:val="both"/>
        <w:textAlignment w:val="baseline"/>
        <w:rPr>
          <w:rFonts w:ascii="Times New Roman" w:hAnsi="Times New Roman" w:cs="Times New Roman"/>
          <w:b/>
          <w:bCs/>
          <w:sz w:val="24"/>
          <w:szCs w:val="24"/>
        </w:rPr>
      </w:pPr>
      <w:r w:rsidRPr="00320AE4">
        <w:rPr>
          <w:rFonts w:ascii="Times New Roman" w:hAnsi="Times New Roman" w:cs="Times New Roman"/>
          <w:bCs/>
          <w:sz w:val="24"/>
          <w:szCs w:val="24"/>
        </w:rPr>
        <w:t xml:space="preserve">Okres gwarancji </w:t>
      </w:r>
      <w:r w:rsidRPr="00320AE4">
        <w:rPr>
          <w:rFonts w:ascii="Times New Roman" w:hAnsi="Times New Roman" w:cs="Times New Roman"/>
          <w:b/>
          <w:bCs/>
          <w:sz w:val="24"/>
          <w:szCs w:val="24"/>
        </w:rPr>
        <w:t xml:space="preserve">20% </w:t>
      </w:r>
    </w:p>
    <w:p w14:paraId="68894F65" w14:textId="77777777" w:rsidR="00320AE4" w:rsidRPr="00320AE4" w:rsidRDefault="00320AE4" w:rsidP="00320AE4">
      <w:pPr>
        <w:tabs>
          <w:tab w:val="left" w:pos="142"/>
        </w:tabs>
        <w:suppressAutoHyphens/>
        <w:autoSpaceDN w:val="0"/>
        <w:spacing w:after="0" w:line="360" w:lineRule="auto"/>
        <w:jc w:val="both"/>
        <w:textAlignment w:val="baseline"/>
        <w:rPr>
          <w:rFonts w:ascii="Times New Roman" w:hAnsi="Times New Roman" w:cs="Times New Roman"/>
          <w:bCs/>
          <w:sz w:val="24"/>
          <w:szCs w:val="24"/>
        </w:rPr>
      </w:pPr>
      <w:r w:rsidRPr="00320AE4">
        <w:rPr>
          <w:rFonts w:ascii="Times New Roman" w:hAnsi="Times New Roman" w:cs="Times New Roman"/>
          <w:bCs/>
          <w:sz w:val="24"/>
          <w:szCs w:val="24"/>
        </w:rPr>
        <w:t xml:space="preserve">-24 miesiące </w:t>
      </w:r>
      <w:r w:rsidRPr="00320AE4">
        <w:rPr>
          <w:rFonts w:ascii="Times New Roman" w:hAnsi="Times New Roman" w:cs="Times New Roman"/>
          <w:b/>
          <w:bCs/>
          <w:sz w:val="24"/>
          <w:szCs w:val="24"/>
        </w:rPr>
        <w:t>20 pkt.</w:t>
      </w:r>
      <w:r w:rsidRPr="00320AE4">
        <w:rPr>
          <w:rFonts w:ascii="Times New Roman" w:hAnsi="Times New Roman" w:cs="Times New Roman"/>
          <w:bCs/>
          <w:sz w:val="24"/>
          <w:szCs w:val="24"/>
        </w:rPr>
        <w:t xml:space="preserve"> </w:t>
      </w:r>
    </w:p>
    <w:p w14:paraId="76B7BAC4" w14:textId="77777777" w:rsidR="00320AE4" w:rsidRPr="00320AE4" w:rsidRDefault="00320AE4" w:rsidP="00320AE4">
      <w:pPr>
        <w:tabs>
          <w:tab w:val="left" w:pos="142"/>
        </w:tabs>
        <w:suppressAutoHyphens/>
        <w:autoSpaceDN w:val="0"/>
        <w:spacing w:after="0" w:line="360" w:lineRule="auto"/>
        <w:jc w:val="both"/>
        <w:textAlignment w:val="baseline"/>
        <w:rPr>
          <w:rFonts w:ascii="Times New Roman" w:hAnsi="Times New Roman" w:cs="Times New Roman"/>
          <w:b/>
          <w:bCs/>
          <w:sz w:val="24"/>
          <w:szCs w:val="24"/>
        </w:rPr>
      </w:pPr>
      <w:r w:rsidRPr="00320AE4">
        <w:rPr>
          <w:rFonts w:ascii="Times New Roman" w:hAnsi="Times New Roman" w:cs="Times New Roman"/>
          <w:bCs/>
          <w:sz w:val="24"/>
          <w:szCs w:val="24"/>
        </w:rPr>
        <w:t xml:space="preserve">-12 miesięcy </w:t>
      </w:r>
      <w:r w:rsidRPr="00320AE4">
        <w:rPr>
          <w:rFonts w:ascii="Times New Roman" w:hAnsi="Times New Roman" w:cs="Times New Roman"/>
          <w:b/>
          <w:bCs/>
          <w:sz w:val="24"/>
          <w:szCs w:val="24"/>
        </w:rPr>
        <w:t>0 pkt.</w:t>
      </w:r>
    </w:p>
    <w:p w14:paraId="55BEF2FC" w14:textId="77777777" w:rsidR="00320AE4" w:rsidRPr="00320AE4" w:rsidRDefault="00320AE4" w:rsidP="00320AE4">
      <w:pPr>
        <w:tabs>
          <w:tab w:val="left" w:pos="142"/>
        </w:tabs>
        <w:suppressAutoHyphens/>
        <w:autoSpaceDN w:val="0"/>
        <w:spacing w:after="0" w:line="360" w:lineRule="auto"/>
        <w:jc w:val="both"/>
        <w:textAlignment w:val="baseline"/>
        <w:rPr>
          <w:rFonts w:ascii="Times New Roman" w:hAnsi="Times New Roman" w:cs="Times New Roman"/>
          <w:bCs/>
          <w:sz w:val="24"/>
          <w:szCs w:val="24"/>
        </w:rPr>
      </w:pPr>
    </w:p>
    <w:sectPr w:rsidR="00320AE4" w:rsidRPr="00320A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2D89"/>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1" w15:restartNumberingAfterBreak="0">
    <w:nsid w:val="10F376D1"/>
    <w:multiLevelType w:val="hybridMultilevel"/>
    <w:tmpl w:val="6A3C1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AE4DBE"/>
    <w:multiLevelType w:val="hybridMultilevel"/>
    <w:tmpl w:val="F2D8D0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8D85B54"/>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4" w15:restartNumberingAfterBreak="0">
    <w:nsid w:val="1B02422C"/>
    <w:multiLevelType w:val="hybridMultilevel"/>
    <w:tmpl w:val="421C9370"/>
    <w:lvl w:ilvl="0" w:tplc="7A627E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BC70F3"/>
    <w:multiLevelType w:val="hybridMultilevel"/>
    <w:tmpl w:val="FF1C665E"/>
    <w:lvl w:ilvl="0" w:tplc="DC8C700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9D300C"/>
    <w:multiLevelType w:val="hybridMultilevel"/>
    <w:tmpl w:val="32B4A44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2A523999"/>
    <w:multiLevelType w:val="multilevel"/>
    <w:tmpl w:val="3D8A52C2"/>
    <w:styleLink w:val="WW8Num1"/>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211" w:hanging="360"/>
      </w:pPr>
      <w:rPr>
        <w:rFonts w:ascii="Times New Roman" w:eastAsia="Calibri" w:hAnsi="Times New Roman" w:cs="Times New Roman"/>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8" w15:restartNumberingAfterBreak="0">
    <w:nsid w:val="2A9E31C2"/>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9" w15:restartNumberingAfterBreak="0">
    <w:nsid w:val="2C4E5FA4"/>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10" w15:restartNumberingAfterBreak="0">
    <w:nsid w:val="2F267BCE"/>
    <w:multiLevelType w:val="hybridMultilevel"/>
    <w:tmpl w:val="BF34A9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8ED16BF"/>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12" w15:restartNumberingAfterBreak="0">
    <w:nsid w:val="40565D48"/>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13" w15:restartNumberingAfterBreak="0">
    <w:nsid w:val="42D9443E"/>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14" w15:restartNumberingAfterBreak="0">
    <w:nsid w:val="4913125B"/>
    <w:multiLevelType w:val="multilevel"/>
    <w:tmpl w:val="E2AC818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15" w15:restartNumberingAfterBreak="0">
    <w:nsid w:val="4A904258"/>
    <w:multiLevelType w:val="hybridMultilevel"/>
    <w:tmpl w:val="2E7A75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A933A0B"/>
    <w:multiLevelType w:val="hybridMultilevel"/>
    <w:tmpl w:val="72C434E6"/>
    <w:lvl w:ilvl="0" w:tplc="AF84DDDA">
      <w:start w:val="1"/>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7" w15:restartNumberingAfterBreak="0">
    <w:nsid w:val="4CB8758F"/>
    <w:multiLevelType w:val="hybridMultilevel"/>
    <w:tmpl w:val="5DB2F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5224492"/>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19" w15:restartNumberingAfterBreak="0">
    <w:nsid w:val="57786E0D"/>
    <w:multiLevelType w:val="hybridMultilevel"/>
    <w:tmpl w:val="772C47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C97637C"/>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21" w15:restartNumberingAfterBreak="0">
    <w:nsid w:val="69F8267A"/>
    <w:multiLevelType w:val="hybridMultilevel"/>
    <w:tmpl w:val="38BE22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CCD42FC"/>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23" w15:restartNumberingAfterBreak="0">
    <w:nsid w:val="759653F6"/>
    <w:multiLevelType w:val="multilevel"/>
    <w:tmpl w:val="A83A5626"/>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b w:val="0"/>
        <w:bCs w:val="0"/>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24" w15:restartNumberingAfterBreak="0">
    <w:nsid w:val="76073677"/>
    <w:multiLevelType w:val="hybridMultilevel"/>
    <w:tmpl w:val="013CC7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C51612"/>
    <w:multiLevelType w:val="hybridMultilevel"/>
    <w:tmpl w:val="271E22F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556817635">
    <w:abstractNumId w:val="21"/>
  </w:num>
  <w:num w:numId="2" w16cid:durableId="827015826">
    <w:abstractNumId w:val="7"/>
  </w:num>
  <w:num w:numId="3" w16cid:durableId="683476133">
    <w:abstractNumId w:val="22"/>
  </w:num>
  <w:num w:numId="4" w16cid:durableId="1956330411">
    <w:abstractNumId w:val="14"/>
  </w:num>
  <w:num w:numId="5" w16cid:durableId="630331962">
    <w:abstractNumId w:val="13"/>
  </w:num>
  <w:num w:numId="6" w16cid:durableId="437796474">
    <w:abstractNumId w:val="23"/>
  </w:num>
  <w:num w:numId="7" w16cid:durableId="325211907">
    <w:abstractNumId w:val="11"/>
  </w:num>
  <w:num w:numId="8" w16cid:durableId="2053338596">
    <w:abstractNumId w:val="18"/>
  </w:num>
  <w:num w:numId="9" w16cid:durableId="112211868">
    <w:abstractNumId w:val="8"/>
  </w:num>
  <w:num w:numId="10" w16cid:durableId="1480461020">
    <w:abstractNumId w:val="0"/>
  </w:num>
  <w:num w:numId="11" w16cid:durableId="2017002508">
    <w:abstractNumId w:val="20"/>
  </w:num>
  <w:num w:numId="12" w16cid:durableId="1883712386">
    <w:abstractNumId w:val="9"/>
  </w:num>
  <w:num w:numId="13" w16cid:durableId="1592003818">
    <w:abstractNumId w:val="12"/>
  </w:num>
  <w:num w:numId="14" w16cid:durableId="1207837356">
    <w:abstractNumId w:val="3"/>
  </w:num>
  <w:num w:numId="15" w16cid:durableId="1808431084">
    <w:abstractNumId w:val="16"/>
  </w:num>
  <w:num w:numId="16" w16cid:durableId="298532733">
    <w:abstractNumId w:val="5"/>
  </w:num>
  <w:num w:numId="17" w16cid:durableId="1552040154">
    <w:abstractNumId w:val="4"/>
  </w:num>
  <w:num w:numId="18" w16cid:durableId="1957759706">
    <w:abstractNumId w:val="1"/>
  </w:num>
  <w:num w:numId="19" w16cid:durableId="1482233874">
    <w:abstractNumId w:val="2"/>
  </w:num>
  <w:num w:numId="20" w16cid:durableId="15664742">
    <w:abstractNumId w:val="6"/>
  </w:num>
  <w:num w:numId="21" w16cid:durableId="1748725512">
    <w:abstractNumId w:val="15"/>
  </w:num>
  <w:num w:numId="22" w16cid:durableId="1263293547">
    <w:abstractNumId w:val="19"/>
  </w:num>
  <w:num w:numId="23" w16cid:durableId="767458824">
    <w:abstractNumId w:val="17"/>
  </w:num>
  <w:num w:numId="24" w16cid:durableId="1971401086">
    <w:abstractNumId w:val="25"/>
  </w:num>
  <w:num w:numId="25" w16cid:durableId="1193347783">
    <w:abstractNumId w:val="10"/>
  </w:num>
  <w:num w:numId="26" w16cid:durableId="165101329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B0B"/>
    <w:rsid w:val="002057C4"/>
    <w:rsid w:val="002814CE"/>
    <w:rsid w:val="00320AE4"/>
    <w:rsid w:val="00342425"/>
    <w:rsid w:val="003B1D60"/>
    <w:rsid w:val="00430937"/>
    <w:rsid w:val="005154B8"/>
    <w:rsid w:val="005D0E96"/>
    <w:rsid w:val="006A1D74"/>
    <w:rsid w:val="00702E44"/>
    <w:rsid w:val="007E0120"/>
    <w:rsid w:val="008B5013"/>
    <w:rsid w:val="008D59DA"/>
    <w:rsid w:val="00AF38A5"/>
    <w:rsid w:val="00CE3885"/>
    <w:rsid w:val="00CE64B8"/>
    <w:rsid w:val="00E52F16"/>
    <w:rsid w:val="00EB161E"/>
    <w:rsid w:val="00EE05B1"/>
    <w:rsid w:val="00FA2B0B"/>
    <w:rsid w:val="00FB56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FAC5D"/>
  <w15:chartTrackingRefBased/>
  <w15:docId w15:val="{83CCD5A0-123B-4751-99FC-4C93FD811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A2B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FA2B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A2B0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A2B0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A2B0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A2B0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A2B0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A2B0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A2B0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A2B0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A2B0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A2B0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A2B0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A2B0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A2B0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A2B0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A2B0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A2B0B"/>
    <w:rPr>
      <w:rFonts w:eastAsiaTheme="majorEastAsia" w:cstheme="majorBidi"/>
      <w:color w:val="272727" w:themeColor="text1" w:themeTint="D8"/>
    </w:rPr>
  </w:style>
  <w:style w:type="paragraph" w:styleId="Tytu">
    <w:name w:val="Title"/>
    <w:basedOn w:val="Normalny"/>
    <w:next w:val="Normalny"/>
    <w:link w:val="TytuZnak"/>
    <w:uiPriority w:val="10"/>
    <w:qFormat/>
    <w:rsid w:val="00FA2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A2B0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A2B0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A2B0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A2B0B"/>
    <w:pPr>
      <w:spacing w:before="160"/>
      <w:jc w:val="center"/>
    </w:pPr>
    <w:rPr>
      <w:i/>
      <w:iCs/>
      <w:color w:val="404040" w:themeColor="text1" w:themeTint="BF"/>
    </w:rPr>
  </w:style>
  <w:style w:type="character" w:customStyle="1" w:styleId="CytatZnak">
    <w:name w:val="Cytat Znak"/>
    <w:basedOn w:val="Domylnaczcionkaakapitu"/>
    <w:link w:val="Cytat"/>
    <w:uiPriority w:val="29"/>
    <w:rsid w:val="00FA2B0B"/>
    <w:rPr>
      <w:i/>
      <w:iCs/>
      <w:color w:val="404040" w:themeColor="text1" w:themeTint="BF"/>
    </w:rPr>
  </w:style>
  <w:style w:type="paragraph" w:styleId="Akapitzlist">
    <w:name w:val="List Paragraph"/>
    <w:basedOn w:val="Normalny"/>
    <w:uiPriority w:val="34"/>
    <w:qFormat/>
    <w:rsid w:val="00FA2B0B"/>
    <w:pPr>
      <w:ind w:left="720"/>
      <w:contextualSpacing/>
    </w:pPr>
  </w:style>
  <w:style w:type="character" w:styleId="Wyrnienieintensywne">
    <w:name w:val="Intense Emphasis"/>
    <w:basedOn w:val="Domylnaczcionkaakapitu"/>
    <w:uiPriority w:val="21"/>
    <w:qFormat/>
    <w:rsid w:val="00FA2B0B"/>
    <w:rPr>
      <w:i/>
      <w:iCs/>
      <w:color w:val="2F5496" w:themeColor="accent1" w:themeShade="BF"/>
    </w:rPr>
  </w:style>
  <w:style w:type="paragraph" w:styleId="Cytatintensywny">
    <w:name w:val="Intense Quote"/>
    <w:basedOn w:val="Normalny"/>
    <w:next w:val="Normalny"/>
    <w:link w:val="CytatintensywnyZnak"/>
    <w:uiPriority w:val="30"/>
    <w:qFormat/>
    <w:rsid w:val="00FA2B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A2B0B"/>
    <w:rPr>
      <w:i/>
      <w:iCs/>
      <w:color w:val="2F5496" w:themeColor="accent1" w:themeShade="BF"/>
    </w:rPr>
  </w:style>
  <w:style w:type="character" w:styleId="Odwoanieintensywne">
    <w:name w:val="Intense Reference"/>
    <w:basedOn w:val="Domylnaczcionkaakapitu"/>
    <w:uiPriority w:val="32"/>
    <w:qFormat/>
    <w:rsid w:val="00FA2B0B"/>
    <w:rPr>
      <w:b/>
      <w:bCs/>
      <w:smallCaps/>
      <w:color w:val="2F5496" w:themeColor="accent1" w:themeShade="BF"/>
      <w:spacing w:val="5"/>
    </w:rPr>
  </w:style>
  <w:style w:type="numbering" w:customStyle="1" w:styleId="WW8Num1">
    <w:name w:val="WW8Num1"/>
    <w:basedOn w:val="Bezlisty"/>
    <w:rsid w:val="00FA2B0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2099</Words>
  <Characters>12598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Markiewicz</dc:creator>
  <cp:keywords/>
  <dc:description/>
  <cp:lastModifiedBy>Alicja Bemowicz</cp:lastModifiedBy>
  <cp:revision>9</cp:revision>
  <dcterms:created xsi:type="dcterms:W3CDTF">2025-11-24T12:09:00Z</dcterms:created>
  <dcterms:modified xsi:type="dcterms:W3CDTF">2025-12-02T08:22:00Z</dcterms:modified>
</cp:coreProperties>
</file>