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F8926" w14:textId="3614BF8C" w:rsidR="00AD0071" w:rsidRPr="007E2CD9" w:rsidRDefault="00AD0071" w:rsidP="00AD0071">
      <w:pPr>
        <w:jc w:val="right"/>
        <w:rPr>
          <w:rFonts w:ascii="Arial" w:hAnsi="Arial" w:cs="Arial"/>
          <w:sz w:val="20"/>
          <w:szCs w:val="20"/>
        </w:rPr>
      </w:pPr>
      <w:r w:rsidRPr="007E2CD9">
        <w:rPr>
          <w:rFonts w:ascii="Arial" w:hAnsi="Arial" w:cs="Arial"/>
          <w:sz w:val="20"/>
          <w:szCs w:val="20"/>
        </w:rPr>
        <w:t>Załącznik nr A</w:t>
      </w:r>
    </w:p>
    <w:p w14:paraId="379E25B7" w14:textId="77777777" w:rsidR="0082577C" w:rsidRDefault="0082577C" w:rsidP="009B63D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98A60C2" w14:textId="0E60EE2E" w:rsidR="009472AC" w:rsidRPr="007E2CD9" w:rsidRDefault="009B63DA" w:rsidP="009B63D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E2CD9">
        <w:rPr>
          <w:rFonts w:ascii="Arial" w:hAnsi="Arial" w:cs="Arial"/>
          <w:b/>
          <w:bCs/>
          <w:sz w:val="28"/>
          <w:szCs w:val="28"/>
        </w:rPr>
        <w:t xml:space="preserve">Opis Przedmiotu </w:t>
      </w:r>
      <w:r w:rsidR="00AD0071" w:rsidRPr="007E2CD9">
        <w:rPr>
          <w:rFonts w:ascii="Arial" w:hAnsi="Arial" w:cs="Arial"/>
          <w:b/>
          <w:bCs/>
          <w:sz w:val="28"/>
          <w:szCs w:val="28"/>
        </w:rPr>
        <w:t>Z</w:t>
      </w:r>
      <w:r w:rsidRPr="007E2CD9">
        <w:rPr>
          <w:rFonts w:ascii="Arial" w:hAnsi="Arial" w:cs="Arial"/>
          <w:b/>
          <w:bCs/>
          <w:sz w:val="28"/>
          <w:szCs w:val="28"/>
        </w:rPr>
        <w:t>amówienia</w:t>
      </w:r>
    </w:p>
    <w:p w14:paraId="5A29B96D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Zastosowania</w:t>
      </w:r>
    </w:p>
    <w:p w14:paraId="0DBB78AC" w14:textId="77777777" w:rsidR="007E2CD9" w:rsidRPr="007E2CD9" w:rsidRDefault="007E2CD9" w:rsidP="007E2CD9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Dyfraktometr musi być przystosowany do:</w:t>
      </w:r>
    </w:p>
    <w:p w14:paraId="6C110B70" w14:textId="77777777" w:rsidR="007E2CD9" w:rsidRPr="007E2CD9" w:rsidRDefault="007E2CD9" w:rsidP="007E2CD9">
      <w:pPr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Dyfrakcji rentgenowskiej wysokiej rozdzielczości (HRXRD)</w:t>
      </w:r>
    </w:p>
    <w:p w14:paraId="64F0C74A" w14:textId="77777777" w:rsidR="007E2CD9" w:rsidRPr="007E2CD9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041A489D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Część ogólna</w:t>
      </w:r>
    </w:p>
    <w:p w14:paraId="7F6063A2" w14:textId="77777777" w:rsidR="007E2CD9" w:rsidRPr="007E2CD9" w:rsidRDefault="007E2CD9" w:rsidP="007E2CD9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Aptos" w:hAnsi="Arial" w:cs="Arial"/>
          <w14:ligatures w14:val="none"/>
        </w:rPr>
        <w:t xml:space="preserve">System powinien być zdolny do pracy w geometrii </w:t>
      </w:r>
      <w:proofErr w:type="spellStart"/>
      <w:r w:rsidRPr="007E2CD9">
        <w:rPr>
          <w:rFonts w:ascii="Arial" w:eastAsia="Aptos" w:hAnsi="Arial" w:cs="Arial"/>
          <w14:ligatures w14:val="none"/>
        </w:rPr>
        <w:t>Bragg-Brentano</w:t>
      </w:r>
      <w:proofErr w:type="spellEnd"/>
      <w:r w:rsidRPr="007E2CD9">
        <w:rPr>
          <w:rFonts w:ascii="Arial" w:eastAsia="Aptos" w:hAnsi="Arial" w:cs="Arial"/>
          <w14:ligatures w14:val="none"/>
        </w:rPr>
        <w:t xml:space="preserve">, w geometrii promienia równoległego </w:t>
      </w:r>
      <w:proofErr w:type="spellStart"/>
      <w:r w:rsidRPr="007E2CD9">
        <w:rPr>
          <w:rFonts w:ascii="Arial" w:eastAsia="Aptos" w:hAnsi="Arial" w:cs="Arial"/>
          <w14:ligatures w14:val="none"/>
        </w:rPr>
        <w:t>Debye-Scherrera</w:t>
      </w:r>
      <w:proofErr w:type="spellEnd"/>
      <w:r w:rsidRPr="007E2CD9">
        <w:rPr>
          <w:rFonts w:ascii="Arial" w:eastAsia="Aptos" w:hAnsi="Arial" w:cs="Arial"/>
          <w14:ligatures w14:val="none"/>
        </w:rPr>
        <w:t xml:space="preserve"> oraz w geometrii skupiającego promienia </w:t>
      </w:r>
      <w:proofErr w:type="spellStart"/>
      <w:r w:rsidRPr="007E2CD9">
        <w:rPr>
          <w:rFonts w:ascii="Arial" w:eastAsia="Aptos" w:hAnsi="Arial" w:cs="Arial"/>
          <w14:ligatures w14:val="none"/>
        </w:rPr>
        <w:t>Debye-Scherrera</w:t>
      </w:r>
      <w:proofErr w:type="spellEnd"/>
      <w:r w:rsidRPr="007E2CD9">
        <w:rPr>
          <w:rFonts w:ascii="Arial" w:eastAsia="Aptos" w:hAnsi="Arial" w:cs="Arial"/>
          <w14:ligatures w14:val="none"/>
        </w:rPr>
        <w:t>, z obsługą zarówno promieniowania Kα1,2, jak i Kα1.</w:t>
      </w:r>
    </w:p>
    <w:p w14:paraId="2FDB2B53" w14:textId="24253630" w:rsidR="007E2CD9" w:rsidRPr="007E2CD9" w:rsidRDefault="007E2CD9" w:rsidP="007E2CD9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System nie </w:t>
      </w:r>
      <w:r w:rsidR="001C0A11">
        <w:rPr>
          <w:rFonts w:ascii="Arial" w:eastAsia="Times New Roman" w:hAnsi="Arial" w:cs="Arial"/>
          <w:kern w:val="0"/>
          <w:lang w:eastAsia="pl-PL"/>
          <w14:ligatures w14:val="none"/>
        </w:rPr>
        <w:t xml:space="preserve"> może 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wymagać sprężonego powietrza.</w:t>
      </w:r>
    </w:p>
    <w:p w14:paraId="0619D12B" w14:textId="0C6219A3" w:rsidR="007E2CD9" w:rsidRPr="007E2CD9" w:rsidRDefault="007E2CD9" w:rsidP="007E2CD9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System </w:t>
      </w:r>
      <w:r w:rsidR="001C0A11">
        <w:rPr>
          <w:rFonts w:ascii="Arial" w:eastAsia="Times New Roman" w:hAnsi="Arial" w:cs="Arial"/>
          <w:kern w:val="0"/>
          <w:lang w:eastAsia="pl-PL"/>
          <w14:ligatures w14:val="none"/>
        </w:rPr>
        <w:t xml:space="preserve"> musi 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obsługiwać zarówno geometrię skupiającą w jednym układzie optycznym (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Bragg-Brentano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), jak i promienia równoległego (lustro Göbla / optyka kapilarna)</w:t>
      </w:r>
    </w:p>
    <w:p w14:paraId="277A1313" w14:textId="77777777" w:rsidR="007E2CD9" w:rsidRPr="007E2CD9" w:rsidRDefault="007E2CD9" w:rsidP="007E2CD9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System powinien umożliwiać pomiary w trybie odbiciowym, transmisyjnym</w:t>
      </w:r>
    </w:p>
    <w:p w14:paraId="113A7913" w14:textId="4629811F" w:rsidR="007E2CD9" w:rsidRPr="007E2CD9" w:rsidRDefault="007E2CD9" w:rsidP="007E2CD9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System </w:t>
      </w:r>
      <w:r w:rsidR="001C0A11">
        <w:rPr>
          <w:rFonts w:ascii="Arial" w:eastAsia="Times New Roman" w:hAnsi="Arial" w:cs="Arial"/>
          <w:kern w:val="0"/>
          <w:lang w:eastAsia="pl-PL"/>
          <w14:ligatures w14:val="none"/>
        </w:rPr>
        <w:t xml:space="preserve"> musi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posiadać funkcjonalność plug &amp;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play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dzięki w pełni automatycznemu, działającemu w czasie rzeczywistym rozpoznawaniu i konfiguracji komponentów oraz wykrywaniu konfliktów we wszystkich elementach toru wiązki, w tym: lampie rentgenowskiej, komponentach optycznych, stolikach próbek (zarówno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ambient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, jak i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nieambientowych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) oraz detektorach:</w:t>
      </w:r>
    </w:p>
    <w:p w14:paraId="0B439816" w14:textId="77777777" w:rsidR="007E2CD9" w:rsidRPr="0082577C" w:rsidRDefault="007E2CD9" w:rsidP="007E2CD9">
      <w:pPr>
        <w:numPr>
          <w:ilvl w:val="1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Praca bezpieczna dzięki automatycznej, bieżącej walidacji komponentów</w:t>
      </w:r>
    </w:p>
    <w:p w14:paraId="3B2E30BA" w14:textId="77777777" w:rsidR="007E2CD9" w:rsidRPr="0082577C" w:rsidRDefault="007E2CD9" w:rsidP="007E2CD9">
      <w:pPr>
        <w:numPr>
          <w:ilvl w:val="1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Automatyczne wykrywanie brakujących lub nieodpowiednich komponentów w czasie rzeczywistym</w:t>
      </w:r>
    </w:p>
    <w:p w14:paraId="761013E7" w14:textId="77777777" w:rsidR="007E2CD9" w:rsidRPr="0082577C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61D877EE" w14:textId="77777777" w:rsidR="007E2CD9" w:rsidRPr="0082577C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Bezpieczeństwo (</w:t>
      </w:r>
      <w:proofErr w:type="spellStart"/>
      <w:r w:rsidRPr="0082577C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Safety</w:t>
      </w:r>
      <w:proofErr w:type="spellEnd"/>
      <w:r w:rsidRPr="0082577C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)</w:t>
      </w:r>
    </w:p>
    <w:p w14:paraId="487DDEC5" w14:textId="77777777" w:rsidR="007E2CD9" w:rsidRPr="0082577C" w:rsidRDefault="007E2CD9" w:rsidP="007E2CD9">
      <w:pPr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System musi być w pełni zgodny z oznaczeniem CE, obejmującym między innymi:</w:t>
      </w:r>
    </w:p>
    <w:p w14:paraId="1FD80854" w14:textId="77777777" w:rsidR="007E2CD9" w:rsidRPr="0082577C" w:rsidRDefault="007E2CD9" w:rsidP="007E2CD9">
      <w:pPr>
        <w:numPr>
          <w:ilvl w:val="1"/>
          <w:numId w:val="24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Dyrektywę maszynową (2006/42/WE)</w:t>
      </w:r>
    </w:p>
    <w:p w14:paraId="3DC45369" w14:textId="77777777" w:rsidR="007E2CD9" w:rsidRPr="0082577C" w:rsidRDefault="007E2CD9" w:rsidP="007E2CD9">
      <w:pPr>
        <w:numPr>
          <w:ilvl w:val="1"/>
          <w:numId w:val="24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Dyrektywę w sprawie urządzeń elektrycznych (2014/35/UE)</w:t>
      </w:r>
    </w:p>
    <w:p w14:paraId="2FC0B544" w14:textId="77777777" w:rsidR="007E2CD9" w:rsidRPr="0082577C" w:rsidRDefault="007E2CD9" w:rsidP="007E2CD9">
      <w:pPr>
        <w:numPr>
          <w:ilvl w:val="1"/>
          <w:numId w:val="24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Dyrektywę w sprawie kompatybilności elektromagnetycznej (2014/30/UE)</w:t>
      </w:r>
    </w:p>
    <w:p w14:paraId="0EF6CE8B" w14:textId="77777777" w:rsidR="007E2CD9" w:rsidRPr="0082577C" w:rsidRDefault="007E2CD9" w:rsidP="007E2CD9">
      <w:pPr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System musi posiadać aktualne oznaczenie CE, do którego dołączona jest prawidłowa Deklaracja Zgodności oraz cała wymagana dokumentacja</w:t>
      </w:r>
    </w:p>
    <w:p w14:paraId="2D5E5FFF" w14:textId="77777777" w:rsidR="007E2CD9" w:rsidRPr="0082577C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189587A4" w14:textId="77777777" w:rsidR="007E2CD9" w:rsidRPr="0082577C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Jakość</w:t>
      </w:r>
    </w:p>
    <w:p w14:paraId="3B81556D" w14:textId="77777777" w:rsidR="007E2CD9" w:rsidRPr="0082577C" w:rsidRDefault="007E2CD9" w:rsidP="007E2CD9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Podczas instalacji instrument musi przejść udokumentowany test odbiorczy oparty na ustalonej procedurze weryfikacji instrumentu, wykazujący poprawność jego ustawienia na poziomie odpowiadającym aktualnemu stanowi techniki w dziedzinie dyfrakcji proszkowej rentgenowskiej:</w:t>
      </w:r>
    </w:p>
    <w:p w14:paraId="6BB70EF0" w14:textId="77777777" w:rsidR="007E2CD9" w:rsidRPr="0082577C" w:rsidRDefault="007E2CD9" w:rsidP="007E2CD9">
      <w:pPr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Ustawienie instrumentu musi być równe lub lepsze niż ±0,01° 2Theta w całym zakresie kątowym, na podstawie uznanego na arenie międzynarodowej standardowego materiału odniesienia NIST SRM 1976a (lub jego następcy).</w:t>
      </w:r>
    </w:p>
    <w:p w14:paraId="68C4ECF2" w14:textId="77777777" w:rsidR="007E2CD9" w:rsidRPr="0082577C" w:rsidRDefault="007E2CD9" w:rsidP="007E2CD9">
      <w:pPr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Względne intensywności muszą być dokładne w granicach ±10% w całym zakresie kątowym, również na podstawie NIST SRM 1976a (lub jego następcy).</w:t>
      </w:r>
    </w:p>
    <w:p w14:paraId="65C2DF25" w14:textId="77777777" w:rsidR="007E2CD9" w:rsidRPr="0082577C" w:rsidRDefault="007E2CD9" w:rsidP="007E2CD9">
      <w:pPr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 xml:space="preserve">Instrument powinien osiągać rozdzielczość (definiowaną jako minimalna pełna szerokość połówkowa – FWHM) równą lub lepszą niż 0,023° 2θ w zakresie 20–30° 2θ, przy zastosowaniu standardowego materiału odniesienia NIST SRM 660a i promieniu goniometru co najmniej 560 mm. </w:t>
      </w:r>
    </w:p>
    <w:p w14:paraId="7FF78978" w14:textId="77777777" w:rsidR="007E2CD9" w:rsidRPr="0082577C" w:rsidRDefault="007E2CD9" w:rsidP="007E2CD9">
      <w:pPr>
        <w:numPr>
          <w:ilvl w:val="1"/>
          <w:numId w:val="25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 xml:space="preserve">Wartość FWHM musi być oceniana przy użyciu dopasowania profilu (profile </w:t>
      </w:r>
      <w:proofErr w:type="spellStart"/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fitting</w:t>
      </w:r>
      <w:proofErr w:type="spellEnd"/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). Inne metody oceny, w tym metody specjalne jak usuwanie składowej Kα2, są niedopuszczalne.</w:t>
      </w:r>
    </w:p>
    <w:p w14:paraId="5661CA89" w14:textId="77777777" w:rsidR="007E2CD9" w:rsidRPr="0082577C" w:rsidRDefault="007E2CD9" w:rsidP="007E2CD9">
      <w:pPr>
        <w:numPr>
          <w:ilvl w:val="1"/>
          <w:numId w:val="25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Należy szczegółowo opisać geometrię/konfigurację instrumentu, ustawienia szczelin oraz promień goniometru użytego do pomiaru FWHM.</w:t>
      </w:r>
    </w:p>
    <w:p w14:paraId="00A3D30C" w14:textId="77777777" w:rsidR="007E2CD9" w:rsidRPr="0082577C" w:rsidRDefault="007E2CD9" w:rsidP="007E2CD9">
      <w:pPr>
        <w:numPr>
          <w:ilvl w:val="1"/>
          <w:numId w:val="25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>Należy wskazać wszelkie użyte monochromatory krystaliczne.</w:t>
      </w:r>
    </w:p>
    <w:p w14:paraId="27E42EB4" w14:textId="77777777" w:rsidR="007E2CD9" w:rsidRPr="0082577C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7E083D5" w14:textId="77777777" w:rsidR="007E2CD9" w:rsidRPr="0082577C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Detektory</w:t>
      </w:r>
    </w:p>
    <w:p w14:paraId="7B2E82EA" w14:textId="77777777" w:rsidR="007E2CD9" w:rsidRPr="0082577C" w:rsidRDefault="007E2CD9" w:rsidP="007E2CD9">
      <w:pPr>
        <w:spacing w:after="0" w:line="240" w:lineRule="auto"/>
        <w:ind w:firstLine="360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Ogólne:</w:t>
      </w:r>
    </w:p>
    <w:p w14:paraId="42614F42" w14:textId="77777777" w:rsidR="007E2CD9" w:rsidRPr="0082577C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System musi oferować w pełni automatyczne rozpoznawanie i konfigurację wszystkich detektorów w czasie rzeczywistym</w:t>
      </w:r>
    </w:p>
    <w:p w14:paraId="2A2A6162" w14:textId="77777777" w:rsidR="007E2CD9" w:rsidRPr="0082577C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 xml:space="preserve">Detektory 1D nie mogą zawierać żadnych uszkodzonych pasków </w:t>
      </w:r>
    </w:p>
    <w:p w14:paraId="36E6AE3D" w14:textId="77777777" w:rsidR="007E2CD9" w:rsidRPr="007E2CD9" w:rsidRDefault="007E2CD9" w:rsidP="007E2CD9">
      <w:pPr>
        <w:spacing w:after="0" w:line="240" w:lineRule="auto"/>
        <w:ind w:firstLine="360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Detektory 1D:</w:t>
      </w:r>
    </w:p>
    <w:p w14:paraId="4AB7387F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Detektor 1D musi być odpowiedni do pracy z promieniowaniem Cr, Co, Cu, Mo oraz Ag</w:t>
      </w:r>
    </w:p>
    <w:p w14:paraId="71FF2DE9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color w:val="EE0000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Grubość sensora krzemowego (Si) nie może być mniejsza niż 450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μm</w:t>
      </w:r>
      <w:proofErr w:type="spellEnd"/>
    </w:p>
    <w:p w14:paraId="65913250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Detektor 1D musi mieć gwarantowaną rozdzielczość energetyczną ≤380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eV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(przy 8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keV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) oraz trzeci próg dyskryminacyjny, umożliwiający optymalne filtrowanie fluorescencji, promieniowania Kβ oraz promieniowania białego</w:t>
      </w:r>
    </w:p>
    <w:p w14:paraId="0E440BD8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Detektor 1D musi być zdolny do tłumienia promieniowania Kβ (dla Cu) do gwarantowanego poziomu ≤0,1% (stosunek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CuK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β /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CuK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α)</w:t>
      </w:r>
    </w:p>
    <w:p w14:paraId="63871CB5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Detektor 1D musi mieć możliwość rejestrowania danych dwuwymiarowych po obróceniu o 90° </w:t>
      </w:r>
    </w:p>
    <w:p w14:paraId="51653148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Detektor 1D musi umożliwiać rejestrowanie danych 2D przy użyciu ogniskowania liniowego i rozbieżnej wiązki pierwotnej („Bragg2D”)</w:t>
      </w:r>
    </w:p>
    <w:p w14:paraId="322075B8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Detektor musi posiadać elektronicznie sterowane, płynnie regulowane „okno detektora” w celu minimalizacji rozproszenia powietrznego przy niskich kątach 2θ</w:t>
      </w:r>
    </w:p>
    <w:p w14:paraId="2250D02A" w14:textId="77777777" w:rsidR="007E2CD9" w:rsidRPr="007E2CD9" w:rsidRDefault="007E2CD9" w:rsidP="007E2CD9">
      <w:pPr>
        <w:spacing w:after="0" w:line="240" w:lineRule="auto"/>
        <w:ind w:left="720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114E9734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proofErr w:type="spellStart"/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Genarator</w:t>
      </w:r>
      <w:proofErr w:type="spellEnd"/>
    </w:p>
    <w:p w14:paraId="0F0B655C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Maksymalna moc ciągła: ≥ 3 kW</w:t>
      </w:r>
    </w:p>
    <w:p w14:paraId="433C2821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Zakres wysokiego napięcia w zakresie co najmniej 20–50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kV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, regulacja co 1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kV</w:t>
      </w:r>
      <w:proofErr w:type="spellEnd"/>
    </w:p>
    <w:p w14:paraId="75DC4C2F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Zakres prądu w zakresie co najmniej 5 – 60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mA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, regulacja co 1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mA</w:t>
      </w:r>
      <w:proofErr w:type="spellEnd"/>
    </w:p>
    <w:p w14:paraId="1F638AE2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Moc pobierana ≤ 4 kVA, maks. prąd 20 A</w:t>
      </w:r>
    </w:p>
    <w:p w14:paraId="48D3B17B" w14:textId="77777777" w:rsidR="007E2CD9" w:rsidRPr="007E2CD9" w:rsidRDefault="007E2CD9" w:rsidP="007E2CD9">
      <w:pPr>
        <w:numPr>
          <w:ilvl w:val="0"/>
          <w:numId w:val="26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Stabilność parametrów wyjściowych &lt; 0,005% dla wysokiego napięcia oraz prądu przy 10% wahaniach napięcia zasilającego</w:t>
      </w:r>
    </w:p>
    <w:p w14:paraId="7C4C8A0E" w14:textId="77777777" w:rsidR="007E2CD9" w:rsidRPr="007E2CD9" w:rsidRDefault="007E2CD9" w:rsidP="007E2CD9">
      <w:pPr>
        <w:spacing w:after="0" w:line="240" w:lineRule="auto"/>
        <w:ind w:left="720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1F593B24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Obudowa lampy i lampy rentgenowskie</w:t>
      </w:r>
    </w:p>
    <w:p w14:paraId="470EAF6A" w14:textId="77777777" w:rsidR="00A163DF" w:rsidRPr="00A163DF" w:rsidRDefault="00A163DF" w:rsidP="00A163DF">
      <w:pPr>
        <w:pStyle w:val="Akapitzlist"/>
        <w:numPr>
          <w:ilvl w:val="0"/>
          <w:numId w:val="27"/>
        </w:numPr>
        <w:rPr>
          <w:rFonts w:eastAsia="Times New Roman" w:cs="Arial"/>
          <w:sz w:val="22"/>
          <w:lang w:eastAsia="pl-PL"/>
        </w:rPr>
      </w:pPr>
      <w:r w:rsidRPr="00A163DF">
        <w:rPr>
          <w:rFonts w:eastAsia="Times New Roman" w:cs="Arial"/>
          <w:sz w:val="22"/>
          <w:lang w:eastAsia="pl-PL"/>
        </w:rPr>
        <w:t xml:space="preserve">Lampa rentgenowska Cu Kα1/Cu Kα2 </w:t>
      </w:r>
    </w:p>
    <w:p w14:paraId="3D3E97E4" w14:textId="5F08A8AA" w:rsidR="007E2CD9" w:rsidRPr="0082577C" w:rsidRDefault="007E2CD9" w:rsidP="007E2CD9">
      <w:pPr>
        <w:numPr>
          <w:ilvl w:val="0"/>
          <w:numId w:val="27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System musi oferować w pełni automatyczne rozpoznawanie i konfigurację wszystkich lamp rentgenowskich w czasie rzeczywistym.</w:t>
      </w:r>
    </w:p>
    <w:p w14:paraId="2555C811" w14:textId="77777777" w:rsidR="007E2CD9" w:rsidRPr="0082577C" w:rsidRDefault="007E2CD9" w:rsidP="007E2CD9">
      <w:pPr>
        <w:numPr>
          <w:ilvl w:val="0"/>
          <w:numId w:val="27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System musi posiadać funkcję automatycznego rozpoznawania kierunku ogniska.</w:t>
      </w:r>
    </w:p>
    <w:p w14:paraId="66E8FD87" w14:textId="77777777" w:rsidR="007E2CD9" w:rsidRPr="0082577C" w:rsidRDefault="007E2CD9" w:rsidP="007E2CD9">
      <w:pPr>
        <w:numPr>
          <w:ilvl w:val="0"/>
          <w:numId w:val="27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Zewnętrzny układ chłodzenia lampy w układzie zamknięty</w:t>
      </w:r>
    </w:p>
    <w:p w14:paraId="13531D94" w14:textId="0C882BE9" w:rsidR="007E2CD9" w:rsidRPr="0082577C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463784A8" w14:textId="77777777" w:rsidR="007E2CD9" w:rsidRPr="0082577C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Goniometr</w:t>
      </w:r>
    </w:p>
    <w:p w14:paraId="5AE8F4A6" w14:textId="77777777" w:rsidR="007E2CD9" w:rsidRPr="007E2CD9" w:rsidRDefault="007E2CD9" w:rsidP="007E2CD9">
      <w:pPr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Goniometr musi oferować zmienną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średnicę okręgu pomiarowego ≥ 500 mm, z predefiniowanymi pozycjami dla standardowych zastosowań oraz możliwością wyboru dowolnego ustawienia pośredniego przez użytkownika</w:t>
      </w:r>
    </w:p>
    <w:p w14:paraId="35FE796B" w14:textId="77777777" w:rsidR="007E2CD9" w:rsidRPr="007E2CD9" w:rsidRDefault="007E2CD9" w:rsidP="007E2CD9">
      <w:pPr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Goniometr powinien posiadać centralny otwór o średnicy co najmniej 10 cm umożliwiający pomiary próbek długich lub instalację akcesoriów</w:t>
      </w:r>
    </w:p>
    <w:p w14:paraId="7E84D409" w14:textId="77777777" w:rsidR="007E2CD9" w:rsidRPr="007E2CD9" w:rsidRDefault="007E2CD9" w:rsidP="007E2CD9">
      <w:pPr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Pozycjonowanie kątowe: wymagane silniki krokowe z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enkoderami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optycznymi zapewniającymi optymalną prędkość skanowania i precyzję pozycjonowania</w:t>
      </w:r>
    </w:p>
    <w:p w14:paraId="48C75920" w14:textId="77777777" w:rsidR="007E2CD9" w:rsidRPr="007E2CD9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22B30435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Optyka</w:t>
      </w:r>
    </w:p>
    <w:p w14:paraId="48B52817" w14:textId="0EE3B007" w:rsidR="007E2CD9" w:rsidRPr="007E2CD9" w:rsidRDefault="0049669A" w:rsidP="007E2CD9">
      <w:pPr>
        <w:spacing w:after="0" w:line="240" w:lineRule="auto"/>
        <w:ind w:firstLine="360"/>
        <w:rPr>
          <w:rFonts w:ascii="Arial" w:eastAsia="Times New Roman" w:hAnsi="Arial" w:cs="Arial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lang w:eastAsia="pl-PL"/>
          <w14:ligatures w14:val="none"/>
        </w:rPr>
        <w:t>S</w:t>
      </w:r>
      <w:r w:rsidRPr="0049669A">
        <w:rPr>
          <w:rFonts w:ascii="Arial" w:eastAsia="Times New Roman" w:hAnsi="Arial" w:cs="Arial"/>
          <w:kern w:val="0"/>
          <w:lang w:eastAsia="pl-PL"/>
          <w14:ligatures w14:val="none"/>
        </w:rPr>
        <w:t>ystem musi zostać wyposażony również</w:t>
      </w:r>
      <w:r w:rsidR="007E2CD9" w:rsidRPr="0082577C">
        <w:rPr>
          <w:rFonts w:ascii="Arial" w:eastAsia="Times New Roman" w:hAnsi="Arial" w:cs="Arial"/>
          <w:kern w:val="0"/>
          <w:lang w:eastAsia="pl-PL"/>
          <w14:ligatures w14:val="none"/>
        </w:rPr>
        <w:t>:</w:t>
      </w:r>
    </w:p>
    <w:p w14:paraId="68CFD517" w14:textId="77777777" w:rsidR="007E2CD9" w:rsidRPr="007E2CD9" w:rsidRDefault="007E2CD9" w:rsidP="007E2CD9">
      <w:pPr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Optykę kapilarną (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poly-capillary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) </w:t>
      </w:r>
    </w:p>
    <w:p w14:paraId="082ED24A" w14:textId="77777777" w:rsidR="007E2CD9" w:rsidRPr="007E2CD9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074608D3" w14:textId="77777777" w:rsidR="007E2CD9" w:rsidRPr="007E2CD9" w:rsidRDefault="007E2CD9" w:rsidP="007E2CD9">
      <w:pPr>
        <w:spacing w:after="0" w:line="240" w:lineRule="auto"/>
        <w:ind w:firstLine="360"/>
        <w:outlineLvl w:val="3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Tor wiązki pierwotnej:</w:t>
      </w:r>
    </w:p>
    <w:p w14:paraId="24CD3303" w14:textId="06A5B748" w:rsidR="007E2CD9" w:rsidRDefault="007E2CD9" w:rsidP="007E2CD9">
      <w:pPr>
        <w:numPr>
          <w:ilvl w:val="0"/>
          <w:numId w:val="30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System musi umożliwiać w pełni zmotoryzowane i sterowane programowo przełączanie między: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 xml:space="preserve">a) geometrią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Bragg-Brentano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(z motoryzowaną szczeliną)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br/>
        <w:t>b) geometrią promienia równoległego (z parabolicznym lustrem Göbla)</w:t>
      </w:r>
    </w:p>
    <w:p w14:paraId="076D9C4C" w14:textId="77777777" w:rsidR="00B4680A" w:rsidRPr="00B4680A" w:rsidRDefault="00B4680A" w:rsidP="00B4680A">
      <w:pPr>
        <w:numPr>
          <w:ilvl w:val="0"/>
          <w:numId w:val="30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B4680A">
        <w:rPr>
          <w:rFonts w:ascii="Arial" w:eastAsia="Times New Roman" w:hAnsi="Arial" w:cs="Arial"/>
          <w:kern w:val="0"/>
          <w:lang w:eastAsia="pl-PL"/>
          <w14:ligatures w14:val="none"/>
        </w:rPr>
        <w:t xml:space="preserve">System musi być wyposażony w nóż redukujący wiązkę pierwotną umożliwiający pomiary w zakresie </w:t>
      </w:r>
      <w:proofErr w:type="spellStart"/>
      <w:r w:rsidRPr="00B4680A">
        <w:rPr>
          <w:rFonts w:ascii="Arial" w:eastAsia="Times New Roman" w:hAnsi="Arial" w:cs="Arial"/>
          <w:kern w:val="0"/>
          <w:lang w:eastAsia="pl-PL"/>
          <w14:ligatures w14:val="none"/>
        </w:rPr>
        <w:t>njskokątowym</w:t>
      </w:r>
      <w:proofErr w:type="spellEnd"/>
      <w:r w:rsidRPr="00B4680A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565F422C" w14:textId="77777777" w:rsidR="007E2CD9" w:rsidRPr="007E2CD9" w:rsidRDefault="007E2CD9" w:rsidP="007E2CD9">
      <w:pPr>
        <w:spacing w:after="0" w:line="240" w:lineRule="auto"/>
        <w:ind w:firstLine="360"/>
        <w:outlineLvl w:val="3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Tor wiązki wtórnej:</w:t>
      </w:r>
    </w:p>
    <w:p w14:paraId="1F7A6322" w14:textId="77777777" w:rsidR="007E2CD9" w:rsidRPr="007E2CD9" w:rsidRDefault="007E2CD9" w:rsidP="007E2CD9">
      <w:pPr>
        <w:numPr>
          <w:ilvl w:val="0"/>
          <w:numId w:val="3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System musi umożliwiać w pełni zmotoryzowane przełączanie między: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br/>
        <w:t>a) zmotoryzowaną szczeliną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br/>
        <w:t xml:space="preserve">b) kolimatorem równikowym typu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Soller</w:t>
      </w:r>
      <w:proofErr w:type="spellEnd"/>
    </w:p>
    <w:p w14:paraId="3539DE54" w14:textId="77777777" w:rsidR="007E2CD9" w:rsidRPr="007E2CD9" w:rsidRDefault="007E2CD9" w:rsidP="007E2CD9">
      <w:pPr>
        <w:numPr>
          <w:ilvl w:val="0"/>
          <w:numId w:val="3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Wszystkie elementy optyczne muszą być wymienialne bez użycia narzędzi (system zatrzaskowy, 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snap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-lock)</w:t>
      </w:r>
    </w:p>
    <w:p w14:paraId="0813013B" w14:textId="77777777" w:rsidR="007E2CD9" w:rsidRPr="007E2CD9" w:rsidRDefault="007E2CD9" w:rsidP="007E2CD9">
      <w:pPr>
        <w:numPr>
          <w:ilvl w:val="0"/>
          <w:numId w:val="31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Komponenty optyczne muszą być automatycznie rozpoznawane i konfigurowane w czasie rzeczywistym z wykrywaniem konfliktów</w:t>
      </w:r>
    </w:p>
    <w:p w14:paraId="5C22D733" w14:textId="77777777" w:rsidR="007E2CD9" w:rsidRPr="007E2CD9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3FA6A428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bookmarkStart w:id="0" w:name="_Hlk216689035"/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Stoliki próbek</w:t>
      </w:r>
    </w:p>
    <w:p w14:paraId="76F46A32" w14:textId="77777777" w:rsidR="007E2CD9" w:rsidRPr="0082577C" w:rsidRDefault="007E2CD9" w:rsidP="007E2CD9">
      <w:pPr>
        <w:numPr>
          <w:ilvl w:val="0"/>
          <w:numId w:val="32"/>
        </w:numPr>
        <w:spacing w:after="0" w:line="240" w:lineRule="auto"/>
        <w:rPr>
          <w:rFonts w:ascii="Arial" w:eastAsia="Times New Roman" w:hAnsi="Arial" w:cs="Arial"/>
          <w:color w:val="EE0000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Wymagany zmotoryzowany stolik próbek, w pełni sterowany programowo, z regulowaną prędkością obrotu próbki, umożliwiający minimum 60 pomiarów w jednej serii w zależności od konfiguracji.</w:t>
      </w:r>
    </w:p>
    <w:p w14:paraId="199AEDF0" w14:textId="77777777" w:rsidR="007E2CD9" w:rsidRPr="0082577C" w:rsidRDefault="007E2CD9" w:rsidP="007E2CD9">
      <w:pPr>
        <w:numPr>
          <w:ilvl w:val="1"/>
          <w:numId w:val="32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Wyposażony w silnik krokowy do precyzyjnego pozycjonowania i skanów obrotowych (PHI)</w:t>
      </w:r>
    </w:p>
    <w:p w14:paraId="67A6C7B5" w14:textId="77777777" w:rsidR="007E2CD9" w:rsidRPr="0082577C" w:rsidRDefault="007E2CD9" w:rsidP="007E2CD9">
      <w:pPr>
        <w:numPr>
          <w:ilvl w:val="1"/>
          <w:numId w:val="32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>Może pracować zarówno w geometrii odbiciowej, jak i transmisyjnej</w:t>
      </w:r>
    </w:p>
    <w:p w14:paraId="04485B73" w14:textId="77777777" w:rsidR="007E2CD9" w:rsidRPr="0082577C" w:rsidRDefault="007E2CD9" w:rsidP="007E2CD9">
      <w:pPr>
        <w:numPr>
          <w:ilvl w:val="0"/>
          <w:numId w:val="32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82577C">
        <w:rPr>
          <w:rFonts w:ascii="Arial" w:eastAsia="Times New Roman" w:hAnsi="Arial" w:cs="Arial"/>
          <w:kern w:val="0"/>
          <w:lang w:eastAsia="pl-PL"/>
          <w14:ligatures w14:val="none"/>
        </w:rPr>
        <w:t xml:space="preserve">Automatyczne rozpoznawanie i konfiguracja wszystkich stolików próbek w czasie rzeczywistym </w:t>
      </w:r>
    </w:p>
    <w:bookmarkEnd w:id="0"/>
    <w:p w14:paraId="66E90572" w14:textId="77777777" w:rsidR="007E2CD9" w:rsidRPr="007E2CD9" w:rsidRDefault="007E2CD9" w:rsidP="007E2CD9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860E069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Optyka – możliwości rozbudowy</w:t>
      </w:r>
    </w:p>
    <w:p w14:paraId="378E0E56" w14:textId="1B5A800B" w:rsidR="007E2CD9" w:rsidRPr="007E2CD9" w:rsidRDefault="007E2CD9" w:rsidP="007E2CD9">
      <w:pPr>
        <w:spacing w:after="0" w:line="240" w:lineRule="auto"/>
        <w:ind w:firstLine="360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System musi umożliwiać </w:t>
      </w:r>
      <w:r w:rsidR="0049669A">
        <w:rPr>
          <w:rFonts w:ascii="Arial" w:eastAsia="Times New Roman" w:hAnsi="Arial" w:cs="Arial"/>
          <w:kern w:val="0"/>
          <w:lang w:eastAsia="pl-PL"/>
          <w14:ligatures w14:val="none"/>
        </w:rPr>
        <w:t>rozbudowę o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następując</w:t>
      </w:r>
      <w:r w:rsidR="0049669A">
        <w:rPr>
          <w:rFonts w:ascii="Arial" w:eastAsia="Times New Roman" w:hAnsi="Arial" w:cs="Arial"/>
          <w:kern w:val="0"/>
          <w:lang w:eastAsia="pl-PL"/>
          <w14:ligatures w14:val="none"/>
        </w:rPr>
        <w:t>e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element</w:t>
      </w:r>
      <w:r w:rsidR="0049669A">
        <w:rPr>
          <w:rFonts w:ascii="Arial" w:eastAsia="Times New Roman" w:hAnsi="Arial" w:cs="Arial"/>
          <w:kern w:val="0"/>
          <w:lang w:eastAsia="pl-PL"/>
          <w14:ligatures w14:val="none"/>
        </w:rPr>
        <w:t>y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optyczn</w:t>
      </w:r>
      <w:r w:rsidR="0049669A">
        <w:rPr>
          <w:rFonts w:ascii="Arial" w:eastAsia="Times New Roman" w:hAnsi="Arial" w:cs="Arial"/>
          <w:kern w:val="0"/>
          <w:lang w:eastAsia="pl-PL"/>
          <w14:ligatures w14:val="none"/>
        </w:rPr>
        <w:t>e</w:t>
      </w: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:</w:t>
      </w:r>
    </w:p>
    <w:p w14:paraId="5FC8CC30" w14:textId="77777777" w:rsidR="007E2CD9" w:rsidRPr="007E2CD9" w:rsidRDefault="007E2CD9" w:rsidP="007E2CD9">
      <w:pPr>
        <w:spacing w:after="0" w:line="240" w:lineRule="auto"/>
        <w:ind w:firstLine="360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354E2A33" w14:textId="77777777" w:rsidR="007E2CD9" w:rsidRPr="007E2CD9" w:rsidRDefault="007E2CD9" w:rsidP="007E2CD9">
      <w:pPr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Główny monochromator 2-odbijeniowy typu channel-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cut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dla Cu Kα1 do badań HRXRD na próbkach epitaksjalnych </w:t>
      </w:r>
    </w:p>
    <w:p w14:paraId="12B5BB6D" w14:textId="77777777" w:rsidR="007E2CD9" w:rsidRPr="007E2CD9" w:rsidRDefault="007E2CD9" w:rsidP="007E2CD9">
      <w:pPr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Analityczny monochromator 2-odbijeniowy typu channel-</w:t>
      </w:r>
      <w:proofErr w:type="spellStart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cut</w:t>
      </w:r>
      <w:proofErr w:type="spellEnd"/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 dla Cu Kα1 do zastosowań takich jak XRR i HRXRD </w:t>
      </w:r>
    </w:p>
    <w:p w14:paraId="60E3F05B" w14:textId="3DFC9BA2" w:rsidR="007E2CD9" w:rsidRDefault="007E2CD9" w:rsidP="007E2CD9">
      <w:pPr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Automatyczny absorber (auto-absorber) zapewniający liniowość wiązki przy pomiarach XRR i HRXRD</w:t>
      </w:r>
    </w:p>
    <w:p w14:paraId="1EEB7CA8" w14:textId="77777777" w:rsidR="007E2CD9" w:rsidRPr="007E2CD9" w:rsidRDefault="007E2CD9" w:rsidP="007E2CD9">
      <w:pPr>
        <w:spacing w:after="0" w:line="240" w:lineRule="auto"/>
        <w:ind w:left="720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5C64A716" w14:textId="77777777" w:rsidR="007E2CD9" w:rsidRPr="007E2CD9" w:rsidRDefault="007E2CD9" w:rsidP="007E2CD9">
      <w:pPr>
        <w:numPr>
          <w:ilvl w:val="0"/>
          <w:numId w:val="21"/>
        </w:numPr>
        <w:spacing w:after="0" w:line="240" w:lineRule="auto"/>
        <w:contextualSpacing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bookmarkStart w:id="1" w:name="_Hlk216690050"/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Oprogramowanie sterujące pomiarem</w:t>
      </w:r>
    </w:p>
    <w:p w14:paraId="1C6AD435" w14:textId="77777777" w:rsidR="007E2CD9" w:rsidRPr="007E2CD9" w:rsidRDefault="007E2CD9" w:rsidP="007E2CD9">
      <w:pPr>
        <w:numPr>
          <w:ilvl w:val="0"/>
          <w:numId w:val="3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 xml:space="preserve">Oprogramowanie pomiarowe musi posiadać graficzną reprezentację instrumentu z wyświetlaniem aktualnej konfiguracji na podstawie automatycznego rozpoznawania komponentów, walidacji w czasie rzeczywistym oraz wykrywania konfliktów </w:t>
      </w:r>
    </w:p>
    <w:p w14:paraId="495BA73B" w14:textId="77777777" w:rsidR="007E2CD9" w:rsidRPr="007E2CD9" w:rsidRDefault="007E2CD9" w:rsidP="007E2CD9">
      <w:pPr>
        <w:numPr>
          <w:ilvl w:val="0"/>
          <w:numId w:val="33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Musi umożliwiać planowanie pomiarów – definiowanie parametrów instrumentu (ustawienia szczelin, wybór komponentów optycznych, wybór geometrii dyfraktometru)</w:t>
      </w:r>
    </w:p>
    <w:p w14:paraId="0762D0E3" w14:textId="77777777" w:rsidR="007E2CD9" w:rsidRPr="007E2CD9" w:rsidRDefault="007E2CD9" w:rsidP="007E2CD9">
      <w:pPr>
        <w:spacing w:after="0" w:line="240" w:lineRule="auto"/>
        <w:ind w:left="360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4F45B32" w14:textId="77777777" w:rsidR="007E2CD9" w:rsidRPr="007E2CD9" w:rsidRDefault="007E2CD9" w:rsidP="007E2CD9">
      <w:pPr>
        <w:spacing w:after="0" w:line="240" w:lineRule="auto"/>
        <w:ind w:left="360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13. Oprogramowanie analizujące zarejestrowane pomiary</w:t>
      </w:r>
    </w:p>
    <w:p w14:paraId="193D4413" w14:textId="77777777" w:rsidR="007E2CD9" w:rsidRPr="007E2CD9" w:rsidRDefault="007E2CD9" w:rsidP="007E2CD9">
      <w:pPr>
        <w:numPr>
          <w:ilvl w:val="0"/>
          <w:numId w:val="34"/>
        </w:num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E2CD9">
        <w:rPr>
          <w:rFonts w:ascii="Arial" w:eastAsia="Times New Roman" w:hAnsi="Arial" w:cs="Arial"/>
          <w:kern w:val="0"/>
          <w:lang w:eastAsia="pl-PL"/>
          <w14:ligatures w14:val="none"/>
        </w:rPr>
        <w:t>Oprogramowanie musi umożliwiać  identyfikacje fazową, analizę profilu, analizę strukturalną oraz analizę ilościową.</w:t>
      </w:r>
    </w:p>
    <w:bookmarkEnd w:id="1"/>
    <w:p w14:paraId="29B8147D" w14:textId="77777777" w:rsidR="004C1DAA" w:rsidRDefault="004C1DAA" w:rsidP="007E2C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lang w:eastAsia="ar-SA"/>
        </w:rPr>
      </w:pPr>
    </w:p>
    <w:p w14:paraId="7B1B08DF" w14:textId="072746F7" w:rsidR="00AD0071" w:rsidRDefault="004C1DAA" w:rsidP="007E2C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Po zakończonej instalacji Wykonawca przeprowadzi instruktaż z obsługi urządzenia dla wyznaczanych pracowników Zamawiającego. </w:t>
      </w:r>
    </w:p>
    <w:p w14:paraId="08DA1CC8" w14:textId="225FAE82" w:rsidR="004C1DAA" w:rsidRDefault="004C1DAA" w:rsidP="007E2C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Zamawiający </w:t>
      </w:r>
      <w:r w:rsidR="001A2450">
        <w:rPr>
          <w:rFonts w:ascii="Arial" w:eastAsia="Times New Roman" w:hAnsi="Arial" w:cs="Arial"/>
          <w:color w:val="000000"/>
          <w:lang w:eastAsia="pl-PL"/>
        </w:rPr>
        <w:t>wymaga</w:t>
      </w:r>
      <w:r>
        <w:rPr>
          <w:rFonts w:ascii="Arial" w:eastAsia="Times New Roman" w:hAnsi="Arial" w:cs="Arial"/>
          <w:color w:val="000000"/>
          <w:lang w:eastAsia="pl-PL"/>
        </w:rPr>
        <w:t xml:space="preserve"> dostępności części zamiennych </w:t>
      </w:r>
      <w:r w:rsidR="001A2450">
        <w:rPr>
          <w:rFonts w:ascii="Arial" w:eastAsia="Times New Roman" w:hAnsi="Arial" w:cs="Arial"/>
          <w:color w:val="000000"/>
          <w:lang w:eastAsia="pl-PL"/>
        </w:rPr>
        <w:t xml:space="preserve">do urządzenia </w:t>
      </w:r>
      <w:r>
        <w:rPr>
          <w:rFonts w:ascii="Arial" w:eastAsia="Times New Roman" w:hAnsi="Arial" w:cs="Arial"/>
          <w:color w:val="000000"/>
          <w:lang w:eastAsia="pl-PL"/>
        </w:rPr>
        <w:t xml:space="preserve">przez okres </w:t>
      </w:r>
      <w:r w:rsidR="001A2450">
        <w:rPr>
          <w:rFonts w:ascii="Arial" w:eastAsia="Times New Roman" w:hAnsi="Arial" w:cs="Arial"/>
          <w:color w:val="000000"/>
          <w:lang w:eastAsia="pl-PL"/>
        </w:rPr>
        <w:t>min.</w:t>
      </w:r>
      <w:r>
        <w:rPr>
          <w:rFonts w:ascii="Arial" w:eastAsia="Times New Roman" w:hAnsi="Arial" w:cs="Arial"/>
          <w:color w:val="000000"/>
          <w:lang w:eastAsia="pl-PL"/>
        </w:rPr>
        <w:t xml:space="preserve"> 10 lat od zakończenia produkcji</w:t>
      </w:r>
      <w:r w:rsidR="001A2450">
        <w:rPr>
          <w:rFonts w:ascii="Arial" w:eastAsia="Times New Roman" w:hAnsi="Arial" w:cs="Arial"/>
          <w:color w:val="000000"/>
          <w:lang w:eastAsia="pl-PL"/>
        </w:rPr>
        <w:t xml:space="preserve"> danego modelu.</w:t>
      </w:r>
    </w:p>
    <w:p w14:paraId="0628175D" w14:textId="4592B6FD" w:rsidR="003903AB" w:rsidRPr="007E2CD9" w:rsidRDefault="007E2CD9" w:rsidP="007E2C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000000"/>
          <w:lang w:eastAsia="pl-PL"/>
        </w:rPr>
      </w:pPr>
      <w:bookmarkStart w:id="2" w:name="_Hlk216680669"/>
      <w:r w:rsidRPr="0082577C">
        <w:rPr>
          <w:rFonts w:ascii="Arial" w:eastAsia="Times New Roman" w:hAnsi="Arial" w:cs="Arial"/>
          <w:color w:val="000000"/>
          <w:u w:val="single"/>
          <w:lang w:eastAsia="pl-PL"/>
        </w:rPr>
        <w:t>Gwarancja minimum 12 miesięcy</w:t>
      </w:r>
      <w:r w:rsidR="00944B02" w:rsidRPr="0082577C">
        <w:rPr>
          <w:rFonts w:ascii="Arial" w:eastAsia="Times New Roman" w:hAnsi="Arial" w:cs="Arial"/>
          <w:color w:val="000000"/>
          <w:u w:val="single"/>
          <w:lang w:eastAsia="pl-PL"/>
        </w:rPr>
        <w:t xml:space="preserve"> od dnia podpisania protokołu odbioru przedmiotu zamówienia bez zastrzeżeń</w:t>
      </w:r>
      <w:r w:rsidRPr="00A163DF">
        <w:rPr>
          <w:rFonts w:ascii="Arial" w:eastAsia="Times New Roman" w:hAnsi="Arial" w:cs="Arial"/>
          <w:color w:val="000000"/>
          <w:lang w:eastAsia="pl-PL"/>
        </w:rPr>
        <w:t>.</w:t>
      </w:r>
      <w:bookmarkEnd w:id="2"/>
      <w:r w:rsidR="00A163DF" w:rsidRPr="00FD6416">
        <w:rPr>
          <w:rFonts w:ascii="Arial" w:eastAsia="Times New Roman" w:hAnsi="Arial" w:cs="Arial"/>
          <w:color w:val="000000"/>
          <w:lang w:eastAsia="pl-PL"/>
        </w:rPr>
        <w:t xml:space="preserve"> Szczegółowe zasady wykonywania uprawnień w zakresie gwarancji jakości</w:t>
      </w:r>
      <w:r w:rsidR="00A163DF">
        <w:rPr>
          <w:rFonts w:ascii="Arial" w:eastAsia="Times New Roman" w:hAnsi="Arial" w:cs="Arial"/>
          <w:color w:val="000000"/>
          <w:lang w:eastAsia="pl-PL"/>
        </w:rPr>
        <w:t xml:space="preserve"> zostały określone w SWZ oraz w projekcie umowy. </w:t>
      </w:r>
    </w:p>
    <w:sectPr w:rsidR="003903AB" w:rsidRPr="007E2C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7E33"/>
    <w:multiLevelType w:val="multilevel"/>
    <w:tmpl w:val="61A0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878FB"/>
    <w:multiLevelType w:val="multilevel"/>
    <w:tmpl w:val="2464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BB2D28"/>
    <w:multiLevelType w:val="multilevel"/>
    <w:tmpl w:val="4516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42A88"/>
    <w:multiLevelType w:val="multilevel"/>
    <w:tmpl w:val="D11A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316C97"/>
    <w:multiLevelType w:val="multilevel"/>
    <w:tmpl w:val="BF06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97485C"/>
    <w:multiLevelType w:val="hybridMultilevel"/>
    <w:tmpl w:val="76562D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E39B6"/>
    <w:multiLevelType w:val="multilevel"/>
    <w:tmpl w:val="BF06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127789"/>
    <w:multiLevelType w:val="hybridMultilevel"/>
    <w:tmpl w:val="4CD4EC44"/>
    <w:lvl w:ilvl="0" w:tplc="CD80338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B1163"/>
    <w:multiLevelType w:val="multilevel"/>
    <w:tmpl w:val="4E32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6B5C99"/>
    <w:multiLevelType w:val="hybridMultilevel"/>
    <w:tmpl w:val="63FE712C"/>
    <w:lvl w:ilvl="0" w:tplc="B08C9E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30ADAA">
      <w:start w:val="1"/>
      <w:numFmt w:val="bullet"/>
      <w:lvlText w:val="-"/>
      <w:lvlJc w:val="left"/>
      <w:pPr>
        <w:tabs>
          <w:tab w:val="num" w:pos="1363"/>
        </w:tabs>
        <w:ind w:left="1363" w:hanging="283"/>
      </w:pPr>
      <w:rPr>
        <w:rFonts w:ascii="Courier New" w:hAnsi="Courier New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F20408"/>
    <w:multiLevelType w:val="hybridMultilevel"/>
    <w:tmpl w:val="FF6A4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F80DFE"/>
    <w:multiLevelType w:val="hybridMultilevel"/>
    <w:tmpl w:val="017EB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6EA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1F52A5"/>
    <w:multiLevelType w:val="hybridMultilevel"/>
    <w:tmpl w:val="A6603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276D6"/>
    <w:multiLevelType w:val="hybridMultilevel"/>
    <w:tmpl w:val="8F764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F5220"/>
    <w:multiLevelType w:val="hybridMultilevel"/>
    <w:tmpl w:val="A8FC63E4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2836"/>
        </w:tabs>
        <w:ind w:left="2836" w:hanging="283"/>
      </w:pPr>
      <w:rPr>
        <w:rFonts w:ascii="Courier New" w:hAnsi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BE5A16"/>
    <w:multiLevelType w:val="multilevel"/>
    <w:tmpl w:val="73FC1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221DA4"/>
    <w:multiLevelType w:val="multilevel"/>
    <w:tmpl w:val="CD7A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AF0BF2"/>
    <w:multiLevelType w:val="multilevel"/>
    <w:tmpl w:val="CE0C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8E4DFB"/>
    <w:multiLevelType w:val="multilevel"/>
    <w:tmpl w:val="C0422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F12350"/>
    <w:multiLevelType w:val="multilevel"/>
    <w:tmpl w:val="32AE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225AF2"/>
    <w:multiLevelType w:val="hybridMultilevel"/>
    <w:tmpl w:val="6F101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D254C6"/>
    <w:multiLevelType w:val="hybridMultilevel"/>
    <w:tmpl w:val="09266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7"/>
  </w:num>
  <w:num w:numId="5">
    <w:abstractNumId w:val="14"/>
  </w:num>
  <w:num w:numId="6">
    <w:abstractNumId w:val="9"/>
  </w:num>
  <w:num w:numId="7">
    <w:abstractNumId w:val="13"/>
  </w:num>
  <w:num w:numId="8">
    <w:abstractNumId w:val="2"/>
  </w:num>
  <w:num w:numId="9">
    <w:abstractNumId w:val="1"/>
  </w:num>
  <w:num w:numId="10">
    <w:abstractNumId w:val="8"/>
  </w:num>
  <w:num w:numId="11">
    <w:abstractNumId w:val="19"/>
  </w:num>
  <w:num w:numId="12">
    <w:abstractNumId w:val="16"/>
  </w:num>
  <w:num w:numId="13">
    <w:abstractNumId w:val="18"/>
  </w:num>
  <w:num w:numId="14">
    <w:abstractNumId w:val="15"/>
  </w:num>
  <w:num w:numId="15">
    <w:abstractNumId w:val="17"/>
  </w:num>
  <w:num w:numId="16">
    <w:abstractNumId w:val="0"/>
  </w:num>
  <w:num w:numId="17">
    <w:abstractNumId w:val="20"/>
  </w:num>
  <w:num w:numId="18">
    <w:abstractNumId w:val="6"/>
  </w:num>
  <w:num w:numId="19">
    <w:abstractNumId w:val="4"/>
  </w:num>
  <w:num w:numId="20">
    <w:abstractNumId w:val="3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"/>
  </w:num>
  <w:num w:numId="24">
    <w:abstractNumId w:val="8"/>
  </w:num>
  <w:num w:numId="25">
    <w:abstractNumId w:val="16"/>
  </w:num>
  <w:num w:numId="26">
    <w:abstractNumId w:val="19"/>
  </w:num>
  <w:num w:numId="27">
    <w:abstractNumId w:val="6"/>
  </w:num>
  <w:num w:numId="28">
    <w:abstractNumId w:val="4"/>
  </w:num>
  <w:num w:numId="29">
    <w:abstractNumId w:val="18"/>
  </w:num>
  <w:num w:numId="30">
    <w:abstractNumId w:val="15"/>
  </w:num>
  <w:num w:numId="31">
    <w:abstractNumId w:val="17"/>
  </w:num>
  <w:num w:numId="32">
    <w:abstractNumId w:val="3"/>
  </w:num>
  <w:num w:numId="33">
    <w:abstractNumId w:val="0"/>
  </w:num>
  <w:num w:numId="34">
    <w:abstractNumId w:val="21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UwMzWwMDA0szAwsjRX0lEKTi0uzszPAykwrAUAMNLZOSwAAAA="/>
  </w:docVars>
  <w:rsids>
    <w:rsidRoot w:val="009B63DA"/>
    <w:rsid w:val="00085EA5"/>
    <w:rsid w:val="000C5CC7"/>
    <w:rsid w:val="00102990"/>
    <w:rsid w:val="001A2450"/>
    <w:rsid w:val="001C0A11"/>
    <w:rsid w:val="001E7422"/>
    <w:rsid w:val="00214195"/>
    <w:rsid w:val="002214CC"/>
    <w:rsid w:val="002E5434"/>
    <w:rsid w:val="00342F6A"/>
    <w:rsid w:val="00374B18"/>
    <w:rsid w:val="003903AB"/>
    <w:rsid w:val="003E55B4"/>
    <w:rsid w:val="0048774F"/>
    <w:rsid w:val="0049669A"/>
    <w:rsid w:val="0049709D"/>
    <w:rsid w:val="004A2CEB"/>
    <w:rsid w:val="004C1DAA"/>
    <w:rsid w:val="0053066E"/>
    <w:rsid w:val="005574F9"/>
    <w:rsid w:val="005C32CF"/>
    <w:rsid w:val="00635961"/>
    <w:rsid w:val="00714E23"/>
    <w:rsid w:val="00745F4B"/>
    <w:rsid w:val="007E2CD9"/>
    <w:rsid w:val="0082577C"/>
    <w:rsid w:val="0088318B"/>
    <w:rsid w:val="00896C5D"/>
    <w:rsid w:val="009225AB"/>
    <w:rsid w:val="00924F11"/>
    <w:rsid w:val="009430D9"/>
    <w:rsid w:val="00944816"/>
    <w:rsid w:val="00944B02"/>
    <w:rsid w:val="009472AC"/>
    <w:rsid w:val="009B63DA"/>
    <w:rsid w:val="009F29AD"/>
    <w:rsid w:val="00A163DF"/>
    <w:rsid w:val="00AA76FA"/>
    <w:rsid w:val="00AC325E"/>
    <w:rsid w:val="00AD0071"/>
    <w:rsid w:val="00B4680A"/>
    <w:rsid w:val="00C26421"/>
    <w:rsid w:val="00C42AAD"/>
    <w:rsid w:val="00D84EDD"/>
    <w:rsid w:val="00D86DE2"/>
    <w:rsid w:val="00DE1229"/>
    <w:rsid w:val="00E41217"/>
    <w:rsid w:val="00E562F9"/>
    <w:rsid w:val="00E61FED"/>
    <w:rsid w:val="00EC7572"/>
    <w:rsid w:val="00ED06B5"/>
    <w:rsid w:val="00EF4FE9"/>
    <w:rsid w:val="00F11090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EF6C1"/>
  <w15:chartTrackingRefBased/>
  <w15:docId w15:val="{B8796008-8A4C-4255-AFE2-25FFF992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63DA"/>
    <w:pPr>
      <w:spacing w:after="0" w:line="240" w:lineRule="auto"/>
      <w:ind w:left="720"/>
      <w:contextualSpacing/>
    </w:pPr>
    <w:rPr>
      <w:rFonts w:ascii="Arial" w:hAnsi="Arial"/>
      <w:kern w:val="0"/>
      <w:sz w:val="24"/>
      <w14:ligatures w14:val="none"/>
    </w:rPr>
  </w:style>
  <w:style w:type="character" w:styleId="Odwoaniedokomentarza">
    <w:name w:val="annotation reference"/>
    <w:basedOn w:val="Domylnaczcionkaakapitu"/>
    <w:semiHidden/>
    <w:unhideWhenUsed/>
    <w:rsid w:val="00896C5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96C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6C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C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C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5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E7422"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autoRedefine/>
    <w:qFormat/>
    <w:rsid w:val="00374B18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2"/>
      <w:szCs w:val="32"/>
      <w:lang w:eastAsia="pl-PL"/>
      <w14:ligatures w14:val="none"/>
    </w:rPr>
  </w:style>
  <w:style w:type="character" w:customStyle="1" w:styleId="TytuZnak">
    <w:name w:val="Tytuł Znak"/>
    <w:basedOn w:val="Domylnaczcionkaakapitu"/>
    <w:link w:val="Tytu"/>
    <w:rsid w:val="00374B18"/>
    <w:rPr>
      <w:rFonts w:ascii="Times New Roman" w:eastAsia="Times New Roman" w:hAnsi="Times New Roman" w:cs="Arial"/>
      <w:b/>
      <w:bCs/>
      <w:kern w:val="28"/>
      <w:sz w:val="32"/>
      <w:szCs w:val="32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4F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1112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3</cp:revision>
  <cp:lastPrinted>2025-12-19T08:05:00Z</cp:lastPrinted>
  <dcterms:created xsi:type="dcterms:W3CDTF">2025-12-18T12:34:00Z</dcterms:created>
  <dcterms:modified xsi:type="dcterms:W3CDTF">2025-12-19T08:46:00Z</dcterms:modified>
</cp:coreProperties>
</file>