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09571" w14:textId="77777777" w:rsidR="00035DEC" w:rsidRPr="00AD45A9" w:rsidRDefault="00256418" w:rsidP="003511BD">
      <w:pPr>
        <w:jc w:val="right"/>
        <w:rPr>
          <w:rFonts w:ascii="Arial" w:hAnsi="Arial" w:cs="Arial"/>
          <w:sz w:val="24"/>
          <w:szCs w:val="24"/>
        </w:rPr>
      </w:pPr>
      <w:r w:rsidRPr="00256418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56418">
        <w:rPr>
          <w:rFonts w:ascii="Arial" w:hAnsi="Arial" w:cs="Arial"/>
          <w:sz w:val="24"/>
          <w:szCs w:val="24"/>
        </w:rPr>
        <w:t>2025-12-23</w:t>
      </w:r>
    </w:p>
    <w:p w14:paraId="46B1C600" w14:textId="77777777" w:rsidR="00256418" w:rsidRPr="00256418" w:rsidRDefault="00256418" w:rsidP="003511BD">
      <w:pPr>
        <w:rPr>
          <w:rFonts w:ascii="Arial" w:hAnsi="Arial" w:cs="Arial"/>
          <w:b/>
          <w:bCs/>
          <w:sz w:val="24"/>
          <w:szCs w:val="24"/>
        </w:rPr>
      </w:pPr>
      <w:r w:rsidRPr="0025641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D05BF73" w14:textId="77777777" w:rsidR="00035DEC" w:rsidRPr="00AD45A9" w:rsidRDefault="00256418" w:rsidP="003511BD">
      <w:pPr>
        <w:rPr>
          <w:rFonts w:ascii="Arial" w:hAnsi="Arial" w:cs="Arial"/>
          <w:b/>
          <w:bCs/>
          <w:sz w:val="24"/>
          <w:szCs w:val="24"/>
        </w:rPr>
      </w:pPr>
      <w:r w:rsidRPr="002564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08E6343" w14:textId="77777777" w:rsidR="00035DEC" w:rsidRPr="00AD45A9" w:rsidRDefault="00256418" w:rsidP="003511BD">
      <w:pPr>
        <w:rPr>
          <w:rFonts w:ascii="Arial" w:hAnsi="Arial" w:cs="Arial"/>
          <w:sz w:val="24"/>
          <w:szCs w:val="24"/>
        </w:rPr>
      </w:pPr>
      <w:r w:rsidRPr="00256418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56418">
        <w:rPr>
          <w:rFonts w:ascii="Arial" w:hAnsi="Arial" w:cs="Arial"/>
          <w:sz w:val="24"/>
          <w:szCs w:val="24"/>
        </w:rPr>
        <w:t>7/19</w:t>
      </w:r>
    </w:p>
    <w:p w14:paraId="0182DBEF" w14:textId="77777777" w:rsidR="00035DEC" w:rsidRPr="00AD45A9" w:rsidRDefault="00256418" w:rsidP="003511BD">
      <w:pPr>
        <w:rPr>
          <w:rFonts w:ascii="Arial" w:hAnsi="Arial" w:cs="Arial"/>
          <w:sz w:val="24"/>
          <w:szCs w:val="24"/>
        </w:rPr>
      </w:pPr>
      <w:r w:rsidRPr="00256418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56418">
        <w:rPr>
          <w:rFonts w:ascii="Arial" w:hAnsi="Arial" w:cs="Arial"/>
          <w:sz w:val="24"/>
          <w:szCs w:val="24"/>
        </w:rPr>
        <w:t>Poznań</w:t>
      </w:r>
    </w:p>
    <w:p w14:paraId="515817F2" w14:textId="77777777" w:rsidR="003511BD" w:rsidRDefault="003511BD" w:rsidP="003511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8DCA108" w14:textId="3A1EF98B" w:rsidR="00035DEC" w:rsidRPr="00AD45A9" w:rsidRDefault="00035DEC" w:rsidP="003511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31A670E" w14:textId="77777777" w:rsidR="00035DEC" w:rsidRDefault="00035DEC" w:rsidP="003511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0E96709" w14:textId="77777777" w:rsidR="003511BD" w:rsidRDefault="003511BD" w:rsidP="003511B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6F051EF" w14:textId="77777777" w:rsidR="00035DEC" w:rsidRPr="004E4B64" w:rsidRDefault="00035DEC" w:rsidP="003511B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8EAD89A" w14:textId="77777777" w:rsidTr="00B32FF9">
        <w:tc>
          <w:tcPr>
            <w:tcW w:w="2269" w:type="dxa"/>
          </w:tcPr>
          <w:p w14:paraId="7C843375" w14:textId="77777777" w:rsidR="00035DEC" w:rsidRPr="004E4B64" w:rsidRDefault="00035DEC" w:rsidP="003511B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6B71699" w14:textId="77777777" w:rsidR="00035DEC" w:rsidRPr="004E4B64" w:rsidRDefault="00256418" w:rsidP="003511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6418">
              <w:rPr>
                <w:rFonts w:ascii="Arial" w:hAnsi="Arial" w:cs="Arial"/>
                <w:bCs/>
                <w:sz w:val="24"/>
                <w:szCs w:val="24"/>
              </w:rPr>
              <w:t>Programy lekowe II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6418" w:rsidRPr="004E4B64" w14:paraId="4F9A1482" w14:textId="77777777" w:rsidTr="005F3D38">
        <w:tc>
          <w:tcPr>
            <w:tcW w:w="2269" w:type="dxa"/>
          </w:tcPr>
          <w:p w14:paraId="148470E0" w14:textId="77777777" w:rsidR="00256418" w:rsidRPr="004E4B64" w:rsidRDefault="00256418" w:rsidP="003511B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7EB0E8D" w14:textId="77777777" w:rsidR="00256418" w:rsidRPr="004E4B64" w:rsidRDefault="00256418" w:rsidP="003511B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6418">
              <w:rPr>
                <w:rFonts w:ascii="Arial" w:hAnsi="Arial" w:cs="Arial"/>
                <w:bCs/>
                <w:sz w:val="24"/>
                <w:szCs w:val="24"/>
              </w:rPr>
              <w:t>SZW/DZP/151/2025</w:t>
            </w:r>
          </w:p>
        </w:tc>
      </w:tr>
    </w:tbl>
    <w:p w14:paraId="65119E89" w14:textId="77777777" w:rsidR="00035DEC" w:rsidRDefault="00035DEC" w:rsidP="003511B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290A8D06" w14:textId="77777777" w:rsidR="003511BD" w:rsidRPr="00AD45A9" w:rsidRDefault="003511BD" w:rsidP="003511B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96A7A3E" w14:textId="77777777" w:rsidTr="00B32FF9">
        <w:tc>
          <w:tcPr>
            <w:tcW w:w="9330" w:type="dxa"/>
            <w:shd w:val="clear" w:color="auto" w:fill="F2F2F2"/>
            <w:hideMark/>
          </w:tcPr>
          <w:p w14:paraId="6FFBC967" w14:textId="77777777" w:rsidR="00035DEC" w:rsidRPr="00AD45A9" w:rsidRDefault="00035DEC" w:rsidP="003511B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B5EFAFF" w14:textId="77777777" w:rsidR="003511BD" w:rsidRDefault="003511BD" w:rsidP="003511BD">
      <w:pPr>
        <w:jc w:val="both"/>
        <w:rPr>
          <w:rFonts w:ascii="Arial" w:hAnsi="Arial" w:cs="Arial"/>
          <w:sz w:val="24"/>
          <w:szCs w:val="24"/>
        </w:rPr>
      </w:pPr>
    </w:p>
    <w:p w14:paraId="40E5CE60" w14:textId="77777777" w:rsidR="003511BD" w:rsidRDefault="003511BD" w:rsidP="003511BD">
      <w:pPr>
        <w:jc w:val="both"/>
        <w:rPr>
          <w:rFonts w:ascii="Arial" w:hAnsi="Arial" w:cs="Arial"/>
          <w:sz w:val="24"/>
          <w:szCs w:val="24"/>
        </w:rPr>
      </w:pPr>
    </w:p>
    <w:p w14:paraId="5ECB4641" w14:textId="03CC7ECF" w:rsidR="0012774F" w:rsidRPr="009003D1" w:rsidRDefault="00520165" w:rsidP="003511BD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56418" w:rsidRPr="00256418">
        <w:rPr>
          <w:rFonts w:ascii="Arial" w:hAnsi="Arial" w:cs="Arial"/>
          <w:b/>
          <w:sz w:val="24"/>
          <w:szCs w:val="24"/>
        </w:rPr>
        <w:t>Szpital Wojewódzki w Poznaniu</w:t>
      </w:r>
      <w:r w:rsidR="003511BD">
        <w:rPr>
          <w:rFonts w:ascii="Arial" w:hAnsi="Arial" w:cs="Arial"/>
          <w:b/>
          <w:sz w:val="24"/>
          <w:szCs w:val="24"/>
        </w:rPr>
        <w:t xml:space="preserve">, </w:t>
      </w:r>
      <w:r w:rsidR="00256418" w:rsidRPr="00256418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56418" w:rsidRPr="00256418">
        <w:rPr>
          <w:rFonts w:ascii="Arial" w:hAnsi="Arial" w:cs="Arial"/>
          <w:sz w:val="24"/>
          <w:szCs w:val="24"/>
        </w:rPr>
        <w:t>(</w:t>
      </w:r>
      <w:proofErr w:type="spellStart"/>
      <w:r w:rsidR="00256418" w:rsidRPr="00256418">
        <w:rPr>
          <w:rFonts w:ascii="Arial" w:hAnsi="Arial" w:cs="Arial"/>
          <w:sz w:val="24"/>
          <w:szCs w:val="24"/>
        </w:rPr>
        <w:t>t.j</w:t>
      </w:r>
      <w:proofErr w:type="spellEnd"/>
      <w:r w:rsidR="00256418" w:rsidRPr="0025641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56418" w:rsidRPr="00256418">
        <w:rPr>
          <w:rFonts w:ascii="Arial" w:hAnsi="Arial" w:cs="Arial"/>
          <w:sz w:val="24"/>
          <w:szCs w:val="24"/>
        </w:rPr>
        <w:t>późn</w:t>
      </w:r>
      <w:proofErr w:type="spellEnd"/>
      <w:r w:rsidR="00256418" w:rsidRPr="00256418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418" w:rsidRPr="009003D1" w14:paraId="5690A2C7" w14:textId="77777777" w:rsidTr="005F3D38">
        <w:tc>
          <w:tcPr>
            <w:tcW w:w="9356" w:type="dxa"/>
          </w:tcPr>
          <w:p w14:paraId="6F3DD563" w14:textId="77777777" w:rsidR="003511BD" w:rsidRDefault="003511BD" w:rsidP="003511B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0E0D94" w14:textId="57298771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Zamawiający w części nr 13 wymaga produktu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Evolocumabum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roztwór do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wstrzykiwań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w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amp.sztrz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. 140 mg/ml x 1 szt., Wykonawca pragnie zaznaczyć, iż tylko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Repatha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140mg 2 x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wstrzykiwacz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jest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refunowana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. Czy zatem Zamawiający wymaga zaoferowania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Repatha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140mg 2 x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wstrzykiwacz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? Jeśli tak, to czy Wykonawca zgodnie z zasadami matematycznymi może dokonać podziału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ilośći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? Odpowiedź: Tak, Zamawiający wymaga leku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Repatha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140 mg x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wstrzykiwacze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. Proszę dokonać podziału ilości w następujący sposób - 120 opakowań x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amp.strz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2CE76EA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B4E1E0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1.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Dotyczy pakietu 2,3</w:t>
            </w:r>
          </w:p>
          <w:p w14:paraId="274A1350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Czy Zamawiający wymaga, aby zgodnie z wymogami programu lekowego B29 "LECZENIE CHORYCH NA STWARDNIENIE ROZSIANE (ICD-10: G35)" rozdział "BADANIA DIAGNOSTYCZNE WYKONYWANE W RAMACH PROGRAMU" pkt 7) Monitorowanie leczenia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natalizumabem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d) w przypadku podejrzenia PML lub JCV GCN (neuronopatia komórek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ziarniczych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) badanie płynu mózgowo-rdzeniowego na obecność wirusa JC, badanie rezonansu magnetycznego bez i po podaniu kontrastu,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e) powtarzanie testu na obecność przeciwciał anty-JCV z określeniem miana poziomu przeciwciał, u pacjenta z ujemnym mianem przeciwciał anty-JCV co 6 miesięcy", wykonawca zagwarantował, dostarczył możliwość wykonania i sfinansował wykonanie ustandaryzowanych badań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Stratify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JCV w kierunku badania płynu mózgowo-rdzeniowego na obecność wirusa JC ze wskazaniem miana ilości kopii wirusa w certyfikowanym laboratorium analitycznym oraz zagwarantował, dostarczył możliwość wykonania i sfinansował powtarzanie testu na obecność przeciwciał anty-JCV z określeniem miana poziomu przeciwciał co 6 miesięcy w certyfikowanym laboratorium analitycznym. Odpowiedź: Zamawiający nie wymaga.</w:t>
            </w:r>
          </w:p>
          <w:p w14:paraId="5FD39BBC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0A5390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2.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 xml:space="preserve">Dotyczy pakietu 2,3 </w:t>
            </w:r>
          </w:p>
          <w:p w14:paraId="2B34941B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Czy Zamawiający wymaga, aby zaoferowany produkt wykazywał stabilność </w:t>
            </w:r>
            <w:r w:rsidRPr="00256418">
              <w:rPr>
                <w:rFonts w:ascii="Arial" w:hAnsi="Arial" w:cs="Arial"/>
                <w:sz w:val="24"/>
                <w:szCs w:val="24"/>
              </w:rPr>
              <w:lastRenderedPageBreak/>
              <w:t>chemiczną i fizyczną rozcieńczonego roztworu przez 72 godziny w temperaturze 2 - 8°C i do 30°C.? Odpowiedź: Zamawiający wymaga.</w:t>
            </w:r>
          </w:p>
          <w:p w14:paraId="1B228CA7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7AA907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3.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 xml:space="preserve">Dotyczy pakietu 2,3 </w:t>
            </w:r>
          </w:p>
          <w:p w14:paraId="57B33A8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Czy Zamawiający wymaga, aby dla zapewnienia zgodności farmaceutycznej poszczególne dawki leków muszą pochodzić od tego samego producenta. Odpowiedź: Zamawiający wymaga.</w:t>
            </w:r>
          </w:p>
          <w:p w14:paraId="11D8FD60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7D056B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4.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Dotyczy pak.3</w:t>
            </w:r>
          </w:p>
          <w:p w14:paraId="7345C6E4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Bardzo proszę o doprecyzowanie ilości opakowań do wyceny.</w:t>
            </w:r>
          </w:p>
          <w:p w14:paraId="56EBFDAE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Dostępne opakowanie to NATALIZUMABUM 150 mg,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roztw.do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.,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-strz.</w:t>
            </w:r>
          </w:p>
          <w:p w14:paraId="366FE8E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Należy wycenić 12 op.*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amp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-strz. czy może 6 op.*2amp.-strzk.? Odpowiedź: Należy wycenić 12 opakowań x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amp.strz</w:t>
            </w:r>
            <w:proofErr w:type="spellEnd"/>
          </w:p>
          <w:p w14:paraId="7E47E1CD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6AE7288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5.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Dotyczy pak.9 poz.1</w:t>
            </w:r>
          </w:p>
          <w:p w14:paraId="0D6C8508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Czy Zamawiający dopuści do wyceny preparat w opakowaniu *28 szt. z odpowiednim przeliczeniem ilości opakowań? Odpowiedź: Zamawiający dopuszcza.</w:t>
            </w:r>
          </w:p>
          <w:p w14:paraId="17382B2C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DCF15A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6.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Dotyczy pak.15</w:t>
            </w:r>
          </w:p>
          <w:p w14:paraId="1723F6A5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Bardzo proszę o określenie ilości opakowań do wyceny. Odpowiedź: 12 opakowań.</w:t>
            </w:r>
          </w:p>
          <w:p w14:paraId="59B9CF7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58D28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Dot. Zadania nr 2.</w:t>
            </w:r>
          </w:p>
          <w:p w14:paraId="129298FC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Natalizumabum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- koncentrat do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sporzadzania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roztworu do infuzji 20 mg/ml, (300 mg/15 ml)</w:t>
            </w:r>
          </w:p>
          <w:p w14:paraId="1D03B7A4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Pytanie 1.Czy Zamawiający dopuszcza, aby w ramach realizacji wymagań programu lekowego B.29 "Leczenie chorych na stwardnienie rozsiane (ICD-10: G35)" w zakresie monitorowania ryzyka rozwoju PML u pacjentów leczonych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natalizumabem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, wykonawca zagwarantował możliwość wykonania testów serologicznych na obecność przeciwciał anty-JCV z określeniem miana poziomu przeciwciał w certyfikowanym laboratorium analitycznym, przy użyciu testu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ImmunoWELL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™ JCV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lub testu referencyjnego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Stratify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JCV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DxSelect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®, zgodnie z aktualnymi wytycznymi EMA dotyczącymi stratyfikacji ryzyka PML?</w:t>
            </w:r>
          </w:p>
          <w:p w14:paraId="130BF804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Uzasadnienie merytoryczne (do wykorzystania w odpowiedzi lub jako załącznik):</w:t>
            </w:r>
          </w:p>
          <w:p w14:paraId="4D365E09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Test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ImmunoWELL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™ JCV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IgG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, opracowany przez Polpharma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Biologics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GenBio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, jest zatwierdzonym testem ELISA do wykrywania przeciwciał anty-JCV, przeznaczonym do monitorowania ryzyka PML u pacjentów leczonych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natalizumabem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C25C08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-Test został klinicznie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zwalidowany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w porównaniu z referencyjnym testem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Stratify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JCV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DxSelect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® i wykazuje wysoką czułość (97,2%) oraz ujemną wartość predykcyjną (NPV &gt;90%), co jest kluczowe dla bezpieczeństwa pacjenta.</w:t>
            </w:r>
          </w:p>
          <w:p w14:paraId="705173CC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-EMA potwierdziła możliwość stosowania testu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ImmunoWELL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™ w analogiczny sposób do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Stratify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, z uwzględnieniem przesunięcia wartości progowych indeksu o 0,1, co zapewnia bardziej konserwatywną ocenę ryzyka PML.</w:t>
            </w:r>
          </w:p>
          <w:p w14:paraId="7FD45197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-Test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ImmunoWELL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™ jest niezależny od konkretnego produktu leczniczego i może być stosowany z dowolną zatwierdzoną formą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natalizumabu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F4B110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-Wykonywanie testów anty-JCV co 6 miesięcy u pacjentów z ujemnym mianem przeciwciał jest zgodne z wymaganiami programu lekowego B.29 oraz z praktyką kliniczną. Odpowiedź: Zamawiający nie wymaga.</w:t>
            </w:r>
          </w:p>
          <w:p w14:paraId="4DDA220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58152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Pytanie 2. Czy zamawiający wymaga, aby stabilność produktu leczniczego zawierającego substancję czynną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natalizumab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była potwierdzona w Charakterystyce </w:t>
            </w:r>
            <w:r w:rsidRPr="00256418">
              <w:rPr>
                <w:rFonts w:ascii="Arial" w:hAnsi="Arial" w:cs="Arial"/>
                <w:sz w:val="24"/>
                <w:szCs w:val="24"/>
              </w:rPr>
              <w:lastRenderedPageBreak/>
              <w:t>Produktu Leczniczego (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), zgodnie z obowiązującymi przepisami prawa farmaceutycznego, w szczególności w zakresie informacji dotyczącej stabilności roztworu po rozcieńczeniu, tj.: "roztwór po rozcieńczeniu należy zużyć w ciągu określonego czasu, zazwyczaj do 8 godzin w temperaturze pokojowej lub do 24 godzin w lodówce (2-8°C), jeśli nie został zużyty natychmiast"?</w:t>
            </w:r>
          </w:p>
          <w:p w14:paraId="02302BE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Informacja ta stanowi potwierdzenie stabilności produktu po przygotowaniu do podania i jest zgodna z wymaganiami określonymi w art. 11 ustawy Prawo farmaceutyczne oraz w Rozporządzeniu Ministra Zdrowia, co gwarantuje jakość, bezpieczeństwo i skuteczność produktu przez cały okres jego stosowania.</w:t>
            </w:r>
          </w:p>
          <w:p w14:paraId="4FD73F01" w14:textId="77777777" w:rsidR="00D00734" w:rsidRDefault="00D00734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F84885" w14:textId="2F14E663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Uzasadnienie medyczne:</w:t>
            </w:r>
          </w:p>
          <w:p w14:paraId="6B02F7C9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W praktyce klinicznej, szczególnie w warunkach szpitalnych, precyzyjna informacja o stabilności roztworu po rozcieńczeniu jest kluczowa dla zapewnienia bezpieczeństwa pacjenta. Brak takiej informacji w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może prowadzić do niejednolitych praktyk przygotowania i podania leku, co zwiększa ryzyko mikrobiologiczne i może wpływać na skuteczność terapii. Dlatego obecność tej informacji w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ChPL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powinna być traktowana jako wymóg jakościowy w postępowaniu przetargowym. Odpowiedź: Zamawiający wymaga.</w:t>
            </w:r>
          </w:p>
          <w:p w14:paraId="6BE8D6F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8CF3F0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1.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Czy Zamawiający w par. 6 zamiast 12 miesięcy wpisze 3 miesiące? Wykonawca nie może być związany postanowieniami umowy przez okres o 100% dłuższy, niż pierwotnie zakładany, przy niezmienionej cenie towaru; nie jest w takim wypadku możliwe skalkulowanie racjonalnej ceny produktów, a także nie można wykluczyć, ze po tak długim czasie produkt nie będzie dostępny (np. wskutek zaprzestania produkcji). Odpowiedź: Zgodnie z wzorem umowy.</w:t>
            </w:r>
          </w:p>
          <w:p w14:paraId="60772F67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2.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Czy Zamawiający w par. 7.4 i 7.9  dopisze inne jeszcze, poza PDF formaty faktur, które można przesyłać mailowo? Typowym formatem używanym w branży farmaceutycznej jest np. format KAMSOFT (.KT0),  DATA FARM (.FAK),   lub  OSOZ-EDI 2012 (.XML). Z uwagi na wymagania systemowe Wykonawcy nie jest on w stanie dostarczać faktur w formacie PDF. Odpowiedź: Zgodnie z wzorem umowy.</w:t>
            </w:r>
          </w:p>
          <w:p w14:paraId="57626DDD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3.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Czy Zamawiający w par. 7.9.a usunie wymóg wpisywania numeru i daty  zamówienia na fakturze? Wygenerowanie tego zapisu w systemie wymaga indywidualnej ingerencji, nie jest możliwe systemowo, co komplikuje i utrudnia obsługę księgową transakcji. Odpowiedź: Zgodnie z wzorem umowy.</w:t>
            </w:r>
          </w:p>
          <w:p w14:paraId="761DA341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4.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Czy Zamawiający zmniejszy wartość kary umownej określonej w par. 17.2 z 2% do wartości max. 0,2%? Obecna kara jest rażąco wygórowana. Odpowiedź: Zgodnie z wzorem umowy.</w:t>
            </w:r>
          </w:p>
          <w:p w14:paraId="6A0CEAF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5.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>Czy Zamawiający w par. 22.1 zamiast frazy "niewykonalne" wprowadzi zapis "nieważne" - to jest odpowiadający zapisom art. 58 KC? Zapis par. 16.1 stanowi niedokładny cytat z kodeksu cywilnego, co jest bardzo ryzykowne, gdyż wprowadza własne pojęcia, nieznane polskiemu prawu (kodeks cywilny nie zawiera frazy 'niewykonalne' w żadnym przepisie), które w razie sporu będą podlegać analizie i interpretacji stron i ostatecznie sądu. Należy przy tym  zauważyć, że "niewykonalna" może być po stronie dostawa produktów leczniczych (z jakiegokolwiek powodu) - jak w takim wypadku Strony zastosują ten zapis, aby zastąpić "niewykonalny" zapis zapisem "wykonalnym"? Odpowiedź: Zgodnie z wzorem umowy.</w:t>
            </w:r>
          </w:p>
          <w:p w14:paraId="0CA0388B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6.</w:t>
            </w:r>
            <w:r w:rsidRPr="00256418">
              <w:rPr>
                <w:rFonts w:ascii="Arial" w:hAnsi="Arial" w:cs="Arial"/>
                <w:sz w:val="24"/>
                <w:szCs w:val="24"/>
              </w:rPr>
              <w:tab/>
              <w:t xml:space="preserve">Czy Zamawiający wykreśli z umowy zapisy par. 22.6.  dotyczące mediacji? Praktyka wskazuje, że jedynym "sporem" pomiędzy stronami jest brak zapłaty za zakupiony, pełnowartościowy i niereklamowany towar. Zatem nie istnieją w istocie żadne kwestie sporne, które mediacja może między stronami rozwiązać. Zapisy te </w:t>
            </w:r>
            <w:r w:rsidRPr="00256418">
              <w:rPr>
                <w:rFonts w:ascii="Arial" w:hAnsi="Arial" w:cs="Arial"/>
                <w:sz w:val="24"/>
                <w:szCs w:val="24"/>
              </w:rPr>
              <w:lastRenderedPageBreak/>
              <w:t>służą jedynie przedłużeniu postępowania, odwleczeniu obowiązku zapłaty  i utrudniają Wykonawcy dochodzenie swoich praw. Odpowiedź: Zgodnie z wzorem umowy.</w:t>
            </w:r>
          </w:p>
          <w:p w14:paraId="79A5E24B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7. Czy Zamawiający w Pakiecie 12 poz. 1 miał na myśli produkt leczniczy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Alirocumabum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150mg/ml x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wstrzykiwacze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, a w pozycji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Alirocumabum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300mg/2ml x 1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.? Tylko takie dawki i opakowania znajdują się aktualnie w Programie Lekowym - Leczenie pacjentów z zaburzeniami lipidowymi i są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refudnowane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. Odpowiedź: Tak, Zamawiający miał na myśli w poz. 1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Alirocumabum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x 2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wstrzykiwacze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, a w poz. 2 x 1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wstrzykiwacz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58DF452" w14:textId="77777777" w:rsidR="003511BD" w:rsidRDefault="003511BD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E7411E" w14:textId="75172FB4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1. Do §6 wzoru umowy: Wykonawca wnosi o zmianę treści postanowienia §6 wzoru umowy, w ten sposób, aby ewentualne przedłużenie terminu obowiązywania umowy, mogło nastąpić na okres nie dłuższy niż 6 miesięcy, po obopólnym wyrażeniu zgody przez obie strony umowy, w formie aneksu. Wskazujemy, że przedłużenie okresu obowiązywania umowy stanowi istotną zmianę treści umowy, a co za tym idzie, nie może być zależne jedynie od jednostronnej czynności prawnej dokonanej przez Zamawiającego, tym bardziej, że w myśl art. 432 PZP, umowa w sprawie zamówienia publicznego, a zatem również wszelkie jej zmiany, wymaga, pod rygorem nieważności, zachowania formy pisemnej. Odpowiedź: Zgodnie z wzorem umowy.</w:t>
            </w:r>
          </w:p>
          <w:p w14:paraId="21BA0F11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2. Do §10 ust. 2 pkt 4 wzoru umowy. Wnosimy o obniżenie do 3% minimalnego progu uprawniającego do ubiegania się o zmianę wynagrodzenia. Wskazujemy przy tym, że proponowany przez Zamawiającego próg 10% spowodować może konieczność ponoszenia rażących strat po stronie wykonawcy zamówienia i sprzedaż poniżej kosztów zakupu (maksymalne marże, w których zawierają się koszty i zysk wykonawcy najczęściej nie przekraczają 5%), a co za tym idzie konieczność odstąpienia od umowy. Odpowiedź: Zgodnie z wzorem umowy.</w:t>
            </w:r>
          </w:p>
          <w:p w14:paraId="79E0B9B1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3. Do §12 ust.2 projektu umowy prosimy o zmianę zapisu i nadanie brzmienia:"… Na żądanie Zamawiającego Wykonawca przekaże stosowne oświadczenie o dostarczeniu i przechowywaniu przedmiotu umowy w warunkach zgodnych za zapisami ustawy Prawo Farmaceutyczne i Dobrej Praktyki Dystrybucyjnej. Odpowiedź: Zgodnie z wzorem umowy.</w:t>
            </w:r>
          </w:p>
          <w:p w14:paraId="3D40B62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4. Do §12 ust.3 projektu umowy. Prosimy o doprecyzowanie zapisu i nadanie mu brzmienia:" W przypadku potwierdzenia transportu poza określonym zakresem temperatur, Zamawiający może odmówić przyjęcia lub zgłosić reklamację do działu reklamacji i zażądać wymiany partii na koszt Wykonawcy. Odpowiedź: Zgodnie z wzorem umowy.</w:t>
            </w:r>
          </w:p>
          <w:p w14:paraId="7699FEB7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5. Do §14 ust. 1 wzoru umowy. Wykonawca wnosi o usunięcie zapisu §14 ust. 1 wzoru umowy, dotyczącego obowiązku utylizacji, gdyż w prowadzonym postępowaniu, przedmiotem umowy, określonym zarówno w specyfikacji warunków zamówienia, jak również w projekcie umowy, jest sukcesywna dostawa produktów farmaceutycznych. Natomiast zobowiązanie Wykonawcy do utylizacji odpadów medycznych zdecydowanie wykracza poza przedmiot zamówienia, stanowiąc czynność odbioru oraz utylizacji odpadów. Dodatkowo, nadmienić należy, że Zamawiający w rozdziale 4 SWZ zawierającym opis przedmiotu zamówienia, wyspecyfikował dokładnie czego dotyczyć będzie zawarta w postępowaniu umowa, podając kody CPV dla produktów leczniczych. Wśród wymienionych kodów brak jest zatem kodu odpowiedniego dla usługi wywozu odpadów. Odpowiedź: Zgodnie z wzorem umowy.</w:t>
            </w:r>
          </w:p>
          <w:p w14:paraId="0CCDA3ED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6. Do §14 ust. 2 wzoru umowy. Wykonawca wnosi o usunięcie postanowienia §14 ust. 2 wzoru umowy, ponieważ wykonawca zamówienia publicznego nie jest stroną umowy Zamawiającego z NFZ, nie ma wpływu na decyzje dotyczące finansowania procedur medycznych przez NFZ, a co za tym idzie, nie może być obarczany </w:t>
            </w:r>
            <w:r w:rsidRPr="00256418">
              <w:rPr>
                <w:rFonts w:ascii="Arial" w:hAnsi="Arial" w:cs="Arial"/>
                <w:sz w:val="24"/>
                <w:szCs w:val="24"/>
              </w:rPr>
              <w:lastRenderedPageBreak/>
              <w:t>koniecznością zwrotu równowartości utraconego finansowania w związku z odwołaniem lub nieprzeprowadzeniem zaplanowanych procedur refundowanych przez NFZ. W przypadku uzasadnionej reklamacji spowodowanej wadą jakościową, wykonawca w procedurze reklamacyjnej dostarcza nowy produkt wolny od wad oraz ponosi już odpowiedzialność w postaci konieczności zapłaty kary umownej za dostarczenia wadliwego asortymentu w wysokości 5% wartości brutto wadliwej partii towaru, określonej w §14 ust. 1 wzoru umowy. Odpowiedź: Zgodnie z wzorem umowy.</w:t>
            </w:r>
          </w:p>
          <w:p w14:paraId="48166ED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7. Do treści §17 ust.1 wzoru umowy. Czy Zamawiający wyrazi zgodę na zmianę zapisu dotyczącego kar umownych za niedostarczenie w terminie zamówionej partii towaru poprzez wprowadzenie zapisu o karze w wysokości 1% wartości nie dostarczonej w terminie części przedmiotu zamówienia za każdy dzień zwłoki? Odpowiedź: Zgodnie z wzorem umowy.</w:t>
            </w:r>
          </w:p>
          <w:p w14:paraId="1FA84E8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8. Do treści §17 ust.2 wzoru umowy. Czy Zamawiający wyrazi zgodę na zmianę zapisu dotyczącego kar umownych za niedostarczenie w terminie zareklamowanej partii towaru poprzez wprowadzenie zapisu o karze w wysokości 1% dziennie liczonej od wartości brutto nie dostarczonego w terminie zamówienia podlegającego reklamacji? Odpowiedź: Zgodnie z wzorem umowy.</w:t>
            </w:r>
          </w:p>
          <w:p w14:paraId="16DA8CDB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5A7D48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Pytanie nr 1</w:t>
            </w:r>
          </w:p>
          <w:p w14:paraId="7F85172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Dotyczy paragrafu 3 ust 2 pkt 5) umowy</w:t>
            </w:r>
          </w:p>
          <w:p w14:paraId="2FD752B9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Zamawiający w paragrafie 3 ust 2 pkt 5) wzoru umowy zastrzegł, iż termin ważności dostarczonych leków nie będzie upływał wcześniej niż 12 miesięcy od daty dostawy.</w:t>
            </w:r>
          </w:p>
          <w:p w14:paraId="728D455E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Zaproponowany przez Zamawiającego termin ważności tj. min. 12 miesięcy, dla produktu leczniczego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Ocrevus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256418">
              <w:rPr>
                <w:rFonts w:ascii="Arial" w:hAnsi="Arial" w:cs="Arial"/>
                <w:sz w:val="24"/>
                <w:szCs w:val="24"/>
              </w:rPr>
              <w:t>Vabysmo</w:t>
            </w:r>
            <w:proofErr w:type="spellEnd"/>
            <w:r w:rsidRPr="00256418">
              <w:rPr>
                <w:rFonts w:ascii="Arial" w:hAnsi="Arial" w:cs="Arial"/>
                <w:sz w:val="24"/>
                <w:szCs w:val="24"/>
              </w:rPr>
              <w:t xml:space="preserve"> (pakiet 4, 10) jest trudny do spełnienia dla Wykonawcy, ze względu na fakt, iż Roche Polska otrzymuje produkty lecznicze od spółek z grupy kapitałowej według z góry ustalonego harmonogramu dostaw na który ma ograniczony wpływ. W związku z tym Wykonawca nie ma możliwości zmiany harmonogramu dostaw tak aby zagwarantować tak długi termin przydatności produktu.</w:t>
            </w:r>
          </w:p>
          <w:p w14:paraId="30AB0FE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W związku z powyższym czy Zamawiający wyrazi zgodę na skrócenie terminu ważności do 6 miesięcy od momentu złożenia zamówienia dla pakietu nr 4 i 10? Odpowiedź: Zgodnie z wzorem umowy.</w:t>
            </w:r>
          </w:p>
          <w:p w14:paraId="2D8DC1FF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582C81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Pytanie nr 2</w:t>
            </w:r>
          </w:p>
          <w:p w14:paraId="7BB014AC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Dotyczy wzoru umowy</w:t>
            </w:r>
          </w:p>
          <w:p w14:paraId="2D15F316" w14:textId="77777777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Czy Zamawiający dopuszcza możliwość modyfikacji par. 17 ust. 3 w ten sposób, że:</w:t>
            </w:r>
          </w:p>
          <w:p w14:paraId="3AB29581" w14:textId="04C377A3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3. W przypadku naruszenia postanowień umowy przez Wykonawcę, którego skutkiem będzie</w:t>
            </w:r>
            <w:r w:rsidR="003511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6418">
              <w:rPr>
                <w:rFonts w:ascii="Arial" w:hAnsi="Arial" w:cs="Arial"/>
                <w:sz w:val="24"/>
                <w:szCs w:val="24"/>
              </w:rPr>
              <w:t>wypowiedzenie lub odstąpienie od umowy przez Zamawiającego z przyczyn dotyczących Wykonawcy, Zamawiający ma prawo do obciążenia Wykonawcy karę umowną w wysokości 10% niezrealizowanej kwoty brutto umowy. W przypadku wypowiedzenia umowy w części, kara umowna zostanie naliczona w wysokości 10% kwoty brutto wartości niezrealizowanej części umowy (pakietu lub pozycji), którą Zamawiający wypowiedział.</w:t>
            </w:r>
          </w:p>
          <w:p w14:paraId="6EBBA0CE" w14:textId="77777777" w:rsidR="00D00734" w:rsidRDefault="00D00734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1E412A" w14:textId="07F575FA" w:rsidR="00256418" w:rsidRPr="00256418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>Uzasadnienie</w:t>
            </w:r>
          </w:p>
          <w:p w14:paraId="2868C66A" w14:textId="421921B7" w:rsidR="00256418" w:rsidRPr="00035DEC" w:rsidRDefault="00256418" w:rsidP="003511BD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6418">
              <w:rPr>
                <w:rFonts w:ascii="Arial" w:hAnsi="Arial" w:cs="Arial"/>
                <w:sz w:val="24"/>
                <w:szCs w:val="24"/>
              </w:rPr>
              <w:t xml:space="preserve">Zdaniem Wykonawcy niewłaściwym są postanowienia Umowy, w których kara umowna naliczana jest od kwoty zamówienia stanowiący przedmiot niniejszej umowy co może skutkować obciążeniem Wykonawcy nadmiernym i niewspółmiernie wysokim ryzykiem gospodarczym w stosunku do naruszonych postanowień Umowy. Kara umowna ma pełnić funkcję mobilizującą wykonawcę do prawidłowej realizacji </w:t>
            </w:r>
            <w:r w:rsidRPr="00256418">
              <w:rPr>
                <w:rFonts w:ascii="Arial" w:hAnsi="Arial" w:cs="Arial"/>
                <w:sz w:val="24"/>
                <w:szCs w:val="24"/>
              </w:rPr>
              <w:lastRenderedPageBreak/>
              <w:t>przedmiotu zamówienia oraz funkcję odszkodowawczą, jeżeli wykonawca wykona przedmiot umowy nieterminowo lub w</w:t>
            </w:r>
            <w:r w:rsidR="003511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6418">
              <w:rPr>
                <w:rFonts w:ascii="Arial" w:hAnsi="Arial" w:cs="Arial"/>
                <w:sz w:val="24"/>
                <w:szCs w:val="24"/>
              </w:rPr>
              <w:t>sposób nieprawidłowy. Odpowiedź: Zgodnie z wzorem umowy.</w:t>
            </w:r>
          </w:p>
        </w:tc>
      </w:tr>
    </w:tbl>
    <w:p w14:paraId="05C19712" w14:textId="77777777" w:rsidR="00BE7BFD" w:rsidRPr="009003D1" w:rsidRDefault="00BE7BFD" w:rsidP="003511BD">
      <w:pPr>
        <w:jc w:val="both"/>
        <w:rPr>
          <w:rFonts w:ascii="Arial" w:hAnsi="Arial" w:cs="Arial"/>
          <w:sz w:val="22"/>
          <w:szCs w:val="22"/>
        </w:rPr>
      </w:pPr>
    </w:p>
    <w:p w14:paraId="6ECD3ACB" w14:textId="77777777" w:rsidR="006D4AB3" w:rsidRDefault="006D4AB3" w:rsidP="003511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1D30DDEA" w14:textId="77777777" w:rsidR="00D00734" w:rsidRDefault="00D00734" w:rsidP="003511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44BA15C3" w14:textId="77777777" w:rsidR="00D00734" w:rsidRPr="00425458" w:rsidRDefault="00D00734" w:rsidP="00D00734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>/-/ Dyrektor Szpitala Wojewódzkiego w Poznaniu</w:t>
      </w:r>
    </w:p>
    <w:p w14:paraId="31E1B0AF" w14:textId="77777777" w:rsidR="00D00734" w:rsidRPr="00425458" w:rsidRDefault="00D00734" w:rsidP="00D00734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 xml:space="preserve">  dr hab. n. med. - prof. UZ - Dawid Murawa</w:t>
      </w:r>
    </w:p>
    <w:p w14:paraId="75151456" w14:textId="77777777" w:rsidR="00D00734" w:rsidRPr="009003D1" w:rsidRDefault="00D00734" w:rsidP="003511B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D00734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AF5CE" w14:textId="77777777" w:rsidR="003C2500" w:rsidRDefault="003C2500">
      <w:r>
        <w:separator/>
      </w:r>
    </w:p>
  </w:endnote>
  <w:endnote w:type="continuationSeparator" w:id="0">
    <w:p w14:paraId="5B30615B" w14:textId="77777777" w:rsidR="003C2500" w:rsidRDefault="003C2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284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4E81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BF6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30E26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FBE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96DB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6E2A5C" w14:textId="77777777" w:rsidR="006D4AB3" w:rsidRDefault="006D4AB3">
    <w:pPr>
      <w:pStyle w:val="Stopka"/>
      <w:tabs>
        <w:tab w:val="clear" w:pos="4536"/>
        <w:tab w:val="left" w:pos="6237"/>
      </w:tabs>
    </w:pPr>
  </w:p>
  <w:p w14:paraId="085C0C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E088A" w14:textId="77777777" w:rsidR="003C2500" w:rsidRDefault="003C2500">
      <w:r>
        <w:separator/>
      </w:r>
    </w:p>
  </w:footnote>
  <w:footnote w:type="continuationSeparator" w:id="0">
    <w:p w14:paraId="5ED986A9" w14:textId="77777777" w:rsidR="003C2500" w:rsidRDefault="003C2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57E49" w14:textId="77777777" w:rsidR="00256418" w:rsidRDefault="00256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EF2E" w14:textId="77777777" w:rsidR="00256418" w:rsidRDefault="00256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395A5" w14:textId="77777777" w:rsidR="00256418" w:rsidRDefault="00256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6736053">
    <w:abstractNumId w:val="3"/>
  </w:num>
  <w:num w:numId="2" w16cid:durableId="1283921610">
    <w:abstractNumId w:val="6"/>
  </w:num>
  <w:num w:numId="3" w16cid:durableId="153836994">
    <w:abstractNumId w:val="2"/>
  </w:num>
  <w:num w:numId="4" w16cid:durableId="761494400">
    <w:abstractNumId w:val="5"/>
  </w:num>
  <w:num w:numId="5" w16cid:durableId="523833994">
    <w:abstractNumId w:val="0"/>
  </w:num>
  <w:num w:numId="6" w16cid:durableId="1800799440">
    <w:abstractNumId w:val="1"/>
  </w:num>
  <w:num w:numId="7" w16cid:durableId="1228347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00"/>
    <w:rsid w:val="00031374"/>
    <w:rsid w:val="00035DEC"/>
    <w:rsid w:val="000A1097"/>
    <w:rsid w:val="000E2A8F"/>
    <w:rsid w:val="0012774F"/>
    <w:rsid w:val="00144B7A"/>
    <w:rsid w:val="00180C6E"/>
    <w:rsid w:val="00256418"/>
    <w:rsid w:val="0029606A"/>
    <w:rsid w:val="003511BD"/>
    <w:rsid w:val="003C2500"/>
    <w:rsid w:val="004848F3"/>
    <w:rsid w:val="00485EA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0073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082C42"/>
  <w15:chartTrackingRefBased/>
  <w15:docId w15:val="{370A907C-98A4-443A-8F6F-1A566AF74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2216</Words>
  <Characters>13296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2025-12-23T12:35:00Z</cp:lastPrinted>
  <dcterms:created xsi:type="dcterms:W3CDTF">2025-12-23T12:36:00Z</dcterms:created>
  <dcterms:modified xsi:type="dcterms:W3CDTF">2025-12-23T12:36:00Z</dcterms:modified>
</cp:coreProperties>
</file>