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Zestawienie podstawowych czynności dla przeglądu okresowego:</w:t>
      </w: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1. Usługa przeglądów i napraw aparatu elektrochirurgicznego SPECTRUM 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funkcjonalne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1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 – jeśli dotyczy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2. Usługa przeglądów i napraw pomp do kontrapulsacji wewnątrzaortalnej CS-100 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funkcjonalne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2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 – jeśli dotyczy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3. Usługa przeglądów i napraw strzykawki automatycznej MEDRAD MARK V PROVIS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funkcjonalne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3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 – jeśli dotyczy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4. Usługa przeglądów i napraw aparatu do ABR ECLIPSE, EP25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lastRenderedPageBreak/>
        <w:t>Testy funkcjonalne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4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 – jeśli dotyczy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5. Usługa przeglądów i napraw aparatu RTG cyfrowy przyłóżkowy AGFA</w:t>
      </w: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 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Ocena stanu technicznego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Kontrola działania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Kalibracja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Konserwacja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funkcjonalne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Wymiana części zużywalnych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Testy bezpieczeństwa elektrycznego</w:t>
      </w:r>
    </w:p>
    <w:p w:rsidR="00CF662B" w:rsidRPr="00CF662B" w:rsidRDefault="00CF662B" w:rsidP="00CF662B">
      <w:pPr>
        <w:numPr>
          <w:ilvl w:val="0"/>
          <w:numId w:val="5"/>
        </w:numPr>
        <w:spacing w:before="100" w:beforeAutospacing="1" w:after="120" w:line="240" w:lineRule="auto"/>
        <w:ind w:left="200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color w:val="000000"/>
          <w:lang w:eastAsia="pl-PL"/>
        </w:rPr>
        <w:t>Aktualizacja oprogramowania </w:t>
      </w:r>
    </w:p>
    <w:p w:rsidR="00CF662B" w:rsidRDefault="00CF662B" w:rsidP="00CF662B">
      <w:pPr>
        <w:spacing w:after="0" w:line="240" w:lineRule="auto"/>
        <w:rPr>
          <w:rFonts w:ascii="Arial Narrow" w:eastAsia="Times New Roman" w:hAnsi="Arial Narrow" w:cs="Segoe UI"/>
          <w:b/>
          <w:bCs/>
          <w:color w:val="000000"/>
          <w:lang w:eastAsia="pl-PL"/>
        </w:rPr>
      </w:pPr>
    </w:p>
    <w:p w:rsidR="00CF662B" w:rsidRPr="00CF662B" w:rsidRDefault="00CF662B" w:rsidP="00CF662B">
      <w:pPr>
        <w:spacing w:after="0" w:line="240" w:lineRule="auto"/>
        <w:rPr>
          <w:rFonts w:ascii="Arial Narrow" w:eastAsia="Times New Roman" w:hAnsi="Arial Narrow" w:cs="Segoe UI"/>
          <w:color w:val="000000"/>
          <w:lang w:eastAsia="pl-PL"/>
        </w:rPr>
      </w:pPr>
      <w:r w:rsidRPr="00CF662B">
        <w:rPr>
          <w:rFonts w:ascii="Arial Narrow" w:eastAsia="Times New Roman" w:hAnsi="Arial Narrow" w:cs="Segoe UI"/>
          <w:b/>
          <w:bCs/>
          <w:color w:val="000000"/>
          <w:lang w:eastAsia="pl-PL"/>
        </w:rPr>
        <w:t>Zadanie nr 6. Usługa serwisowa aparatu RTG tomograf komputerowy Brilliance 16 </w:t>
      </w:r>
    </w:p>
    <w:p w:rsidR="002B049F" w:rsidRDefault="002B049F" w:rsidP="002B049F">
      <w:pPr>
        <w:rPr>
          <w:u w:val="single"/>
        </w:rPr>
      </w:pPr>
      <w:r>
        <w:rPr>
          <w:u w:val="single"/>
        </w:rPr>
        <w:t xml:space="preserve">Zakres czynności serwisowych dla tomografu Brillance CT 16 – pełen kontrakt serwisowy </w:t>
      </w:r>
    </w:p>
    <w:p w:rsidR="002B049F" w:rsidRDefault="002B049F" w:rsidP="002B049F">
      <w:pPr>
        <w:pStyle w:val="Akapitzlist"/>
        <w:numPr>
          <w:ilvl w:val="1"/>
          <w:numId w:val="9"/>
        </w:numPr>
        <w:spacing w:line="240" w:lineRule="auto"/>
        <w:ind w:left="0" w:firstLine="0"/>
      </w:pPr>
      <w:r>
        <w:t xml:space="preserve">Przeglądy okresowe – 4 razy w roku </w:t>
      </w:r>
    </w:p>
    <w:p w:rsidR="002B049F" w:rsidRDefault="002B049F" w:rsidP="002B049F">
      <w:pPr>
        <w:spacing w:line="240" w:lineRule="auto"/>
      </w:pPr>
      <w:r>
        <w:t xml:space="preserve">Regularne przeglądy okresowe – planowane czynności konserwacyjne , które są realizowane zgodnie z zaleceniami wytwórcy, importera lub dystrybutora, wynikające ze specyfiki używanego wyrobu i obejmujące w szczególności: ogólną kontrolę funkcjonowania systemu, kalibrację, regulację, czyszczenie, smarowanie, wymianę filtrów lub innych elementów zużywalnych, niewielkie modernizacje techniczne lub aktualizacje oprogramowania, a także drobne naprawy. Pojęcie to obejmuje także czynności związane z wzorcowaniem wyrobu, a także jego kontrolę bezpieczeństwa. </w:t>
      </w:r>
    </w:p>
    <w:p w:rsidR="002B049F" w:rsidRDefault="002B049F" w:rsidP="002B049F">
      <w:pPr>
        <w:spacing w:line="240" w:lineRule="auto"/>
      </w:pPr>
      <w:r>
        <w:t xml:space="preserve">Dokumentacja przeglądów obejmująca raport z wykonanych testów funkcjonalnych oraz testów bezpieczeństwa elektrycznego według procedury producenta. </w:t>
      </w:r>
    </w:p>
    <w:p w:rsidR="002B049F" w:rsidRDefault="002B049F" w:rsidP="002B049F">
      <w:pPr>
        <w:spacing w:line="240" w:lineRule="auto"/>
      </w:pPr>
      <w:r>
        <w:t>Każdorazowo przegląd danego urządzenia potwierdzony wpisem do paszportu technicznego aparatu medycznego.</w:t>
      </w:r>
    </w:p>
    <w:p w:rsidR="002B049F" w:rsidRDefault="002B049F" w:rsidP="002B049F">
      <w:pPr>
        <w:pStyle w:val="Akapitzlist"/>
        <w:numPr>
          <w:ilvl w:val="1"/>
          <w:numId w:val="9"/>
        </w:numPr>
        <w:spacing w:line="240" w:lineRule="auto"/>
        <w:ind w:left="0" w:firstLine="0"/>
      </w:pPr>
      <w:r>
        <w:t xml:space="preserve"> Kontrole jakości – podczas przeglądów okresowych </w:t>
      </w:r>
    </w:p>
    <w:p w:rsidR="002B049F" w:rsidRDefault="002B049F" w:rsidP="002B049F">
      <w:pPr>
        <w:spacing w:line="240" w:lineRule="auto"/>
      </w:pPr>
      <w:r>
        <w:t>Sprawdzanie jakości obrazu.</w:t>
      </w:r>
    </w:p>
    <w:p w:rsidR="002B049F" w:rsidRDefault="002B049F" w:rsidP="002B049F">
      <w:pPr>
        <w:spacing w:line="240" w:lineRule="auto"/>
      </w:pPr>
      <w:r>
        <w:t xml:space="preserve">Sprawdzenie wartości pomiarowych i aplikacyjnych aparatury z wykorzystaniem, w razie potrzeby, specjalistycznej aparatury pomiarowej i  fantomów. </w:t>
      </w:r>
    </w:p>
    <w:p w:rsidR="002B049F" w:rsidRDefault="002B049F" w:rsidP="002B049F">
      <w:pPr>
        <w:spacing w:line="240" w:lineRule="auto"/>
      </w:pPr>
      <w:r>
        <w:t xml:space="preserve">Przeprowadzenie czynności korygujących – ustawienie i regulacja odpowiednich wartości nastawień w przypadkach ich odchylenia od wartości optymalnych. </w:t>
      </w:r>
    </w:p>
    <w:p w:rsidR="002B049F" w:rsidRDefault="002B049F" w:rsidP="002B049F">
      <w:pPr>
        <w:pStyle w:val="Akapitzlist"/>
        <w:numPr>
          <w:ilvl w:val="1"/>
          <w:numId w:val="9"/>
        </w:numPr>
        <w:spacing w:line="240" w:lineRule="auto"/>
        <w:ind w:left="0" w:firstLine="0"/>
      </w:pPr>
      <w:r>
        <w:t xml:space="preserve">Naprawy </w:t>
      </w:r>
    </w:p>
    <w:p w:rsidR="002B049F" w:rsidRDefault="002B049F" w:rsidP="002B049F">
      <w:pPr>
        <w:spacing w:line="240" w:lineRule="auto"/>
      </w:pPr>
      <w:r>
        <w:t xml:space="preserve">Interwencje na wezwanie (usunięcie lub skuteczne zdiagnozowanie usterki) – praca w miejscu lokalizacji sprzętu wraz z dojazdem inżyniera. </w:t>
      </w:r>
    </w:p>
    <w:p w:rsidR="002B049F" w:rsidRDefault="002B049F" w:rsidP="002B049F">
      <w:pPr>
        <w:spacing w:line="240" w:lineRule="auto"/>
      </w:pPr>
      <w:r>
        <w:lastRenderedPageBreak/>
        <w:t xml:space="preserve">Pojęcie interwencji – zgodnie z zapisami umowy </w:t>
      </w:r>
    </w:p>
    <w:p w:rsidR="002B049F" w:rsidRDefault="002B049F" w:rsidP="002B049F">
      <w:pPr>
        <w:spacing w:line="240" w:lineRule="auto"/>
      </w:pPr>
      <w:r>
        <w:t xml:space="preserve">Interwencja w miejscu instalacji sprzętu rozumiana jako stawiennictwo inżyniera na miejscu, u klienta w terminie określonym umową </w:t>
      </w:r>
    </w:p>
    <w:p w:rsidR="002B049F" w:rsidRDefault="002B049F" w:rsidP="002B049F">
      <w:pPr>
        <w:spacing w:line="240" w:lineRule="auto"/>
      </w:pPr>
      <w:r>
        <w:t xml:space="preserve">Diagnozowanie błędów, usuwanie usterek oraz likwidowanie szkód powstałych w wyniku naturalnego zużycia części </w:t>
      </w:r>
    </w:p>
    <w:p w:rsidR="002B049F" w:rsidRDefault="002B049F" w:rsidP="002B049F">
      <w:pPr>
        <w:spacing w:line="240" w:lineRule="auto"/>
      </w:pPr>
      <w:r>
        <w:t xml:space="preserve">Dostęp i naprawy zdalne poprzez dedykowane łącze VPN </w:t>
      </w:r>
    </w:p>
    <w:p w:rsidR="002B049F" w:rsidRDefault="002B049F" w:rsidP="002B049F">
      <w:pPr>
        <w:spacing w:line="240" w:lineRule="auto"/>
      </w:pPr>
      <w:r>
        <w:t xml:space="preserve">Czas naprawy bez części zamiennych: do 3 dni roboczych </w:t>
      </w:r>
    </w:p>
    <w:p w:rsidR="002B049F" w:rsidRDefault="002B049F" w:rsidP="002B049F">
      <w:pPr>
        <w:spacing w:line="240" w:lineRule="auto"/>
      </w:pPr>
      <w:r>
        <w:t xml:space="preserve">Czas naprawy  przy konieczności wymiany części zamiennych: do 5 dni roboczych </w:t>
      </w:r>
    </w:p>
    <w:p w:rsidR="002B049F" w:rsidRDefault="002B049F" w:rsidP="002B049F">
      <w:pPr>
        <w:spacing w:line="240" w:lineRule="auto"/>
      </w:pPr>
      <w:r>
        <w:t xml:space="preserve">Kontrola urządzenia po przeprowadzonej naprawie </w:t>
      </w:r>
    </w:p>
    <w:p w:rsidR="002B049F" w:rsidRDefault="002B049F" w:rsidP="002B049F">
      <w:pPr>
        <w:spacing w:line="240" w:lineRule="auto"/>
      </w:pPr>
      <w:r>
        <w:t>Dokumentacja interwencji serwisowej oraz każdorazowo naprawa danego urządzenia potwierdzona wpisem do paszportu technicznego aparatu medycznego.</w:t>
      </w:r>
    </w:p>
    <w:p w:rsidR="002B049F" w:rsidRDefault="002B049F" w:rsidP="002B049F">
      <w:pPr>
        <w:spacing w:line="240" w:lineRule="auto"/>
      </w:pPr>
      <w:r>
        <w:t>Wykonanie zalecanych przez producenta modyfikacji oprogramowania i konstrukcji, poprawiających wydajność pracy i bezpieczeństwo (obejmujących również te usprawniające pracę urządzenia, Nie tylko te obowiązkowo wymagane.</w:t>
      </w:r>
    </w:p>
    <w:p w:rsidR="002B049F" w:rsidRDefault="002B049F" w:rsidP="002B049F">
      <w:pPr>
        <w:pStyle w:val="Akapitzlist"/>
        <w:numPr>
          <w:ilvl w:val="1"/>
          <w:numId w:val="9"/>
        </w:numPr>
        <w:spacing w:line="240" w:lineRule="auto"/>
        <w:ind w:left="0" w:firstLine="0"/>
      </w:pPr>
      <w:r>
        <w:t xml:space="preserve">Części zamienne </w:t>
      </w:r>
    </w:p>
    <w:p w:rsidR="002B049F" w:rsidRDefault="002B049F" w:rsidP="002B049F">
      <w:pPr>
        <w:spacing w:line="240" w:lineRule="auto"/>
      </w:pPr>
      <w:r>
        <w:t xml:space="preserve">Dostawy komponentów specjalnych, to jest lamp rentgenowskich i detektorów promieniowania, fabrycznie oryginalnych określonych przez wytwórcę danego sprzętu w celu zastąpienia tych, które na skutek naturalnych procesów uległy całkowitemu zużyciu lub stały się nieprzydatnymi do dalszej ekspozycji. </w:t>
      </w:r>
    </w:p>
    <w:p w:rsidR="002B049F" w:rsidRDefault="002B049F" w:rsidP="002B049F">
      <w:pPr>
        <w:spacing w:line="240" w:lineRule="auto"/>
      </w:pPr>
      <w:r>
        <w:t>Dostawy oryginalnych podzespołów i części zmiennych określonych przez wytwórcę danego sprzętu w celu zastąpienia części, które na skutek naturalnych procesów uległy całkowitemu zużyciu lub stały się nieprzydatnymi do dalszej eksploatacji, za wyjątkiem materiałów eksploatacyjnych.</w:t>
      </w:r>
    </w:p>
    <w:p w:rsidR="002B049F" w:rsidRDefault="002B049F" w:rsidP="002B049F">
      <w:pPr>
        <w:spacing w:line="240" w:lineRule="auto"/>
      </w:pPr>
      <w:r>
        <w:t xml:space="preserve">Dostawy materiałów niezbędnych do przeprowadzenia przeglądów. </w:t>
      </w:r>
    </w:p>
    <w:p w:rsidR="002B049F" w:rsidRDefault="002B049F" w:rsidP="002B049F">
      <w:pPr>
        <w:pStyle w:val="Akapitzlist"/>
        <w:numPr>
          <w:ilvl w:val="1"/>
          <w:numId w:val="9"/>
        </w:numPr>
        <w:spacing w:line="240" w:lineRule="auto"/>
        <w:ind w:left="0" w:firstLine="0"/>
      </w:pPr>
      <w:r>
        <w:t xml:space="preserve">Zdalna diagnostyka </w:t>
      </w:r>
    </w:p>
    <w:p w:rsidR="002B049F" w:rsidRDefault="002B049F" w:rsidP="002B049F">
      <w:pPr>
        <w:spacing w:line="240" w:lineRule="auto"/>
      </w:pPr>
      <w:r>
        <w:t xml:space="preserve">Stale monitorowanie parametrów pracy urządzenia za pomocą zdalnego łącza i dedykowanej aplikacji serwisowej. </w:t>
      </w:r>
    </w:p>
    <w:p w:rsidR="002B049F" w:rsidRDefault="002B049F" w:rsidP="002B049F">
      <w:pPr>
        <w:spacing w:line="240" w:lineRule="auto"/>
      </w:pPr>
      <w:r>
        <w:t>Proaktywny monitoring lampy RTG z wykorzystaniem automatycznego wzorca wykrywania błędów.</w:t>
      </w:r>
    </w:p>
    <w:p w:rsidR="002B049F" w:rsidRDefault="002B049F" w:rsidP="002B049F">
      <w:pPr>
        <w:spacing w:line="240" w:lineRule="auto"/>
      </w:pPr>
      <w:r>
        <w:t>Wykorzystanie zdalnego łącza do zdalnej diagnostyki i naprawy uszkodzeń.</w:t>
      </w:r>
    </w:p>
    <w:p w:rsidR="002B049F" w:rsidRDefault="002B049F" w:rsidP="002B049F">
      <w:pPr>
        <w:pStyle w:val="Akapitzlist"/>
        <w:numPr>
          <w:ilvl w:val="1"/>
          <w:numId w:val="9"/>
        </w:numPr>
        <w:spacing w:line="240" w:lineRule="auto"/>
        <w:ind w:left="0" w:firstLine="0"/>
      </w:pPr>
      <w:r>
        <w:t xml:space="preserve">Pomoc aplikacyjna </w:t>
      </w:r>
    </w:p>
    <w:p w:rsidR="002B049F" w:rsidRDefault="002B049F" w:rsidP="002B049F">
      <w:pPr>
        <w:spacing w:line="240" w:lineRule="auto"/>
      </w:pPr>
      <w:r>
        <w:t>W zakresie wsparcia technicznego przez inżyniera serwisu posiadającego kwalifikacje potwierdzone certyfikatem wystawionym przez producenta urządzenia lub jego autoryzowanego przedstawiciela.</w:t>
      </w:r>
    </w:p>
    <w:p w:rsidR="002B049F" w:rsidRDefault="002B049F" w:rsidP="002B049F">
      <w:pPr>
        <w:spacing w:line="240" w:lineRule="auto"/>
      </w:pPr>
      <w:r>
        <w:t xml:space="preserve">Doradztwo w zakresie aplikacji zainstalowanych w aparacie i porady przez telefon.  </w:t>
      </w:r>
    </w:p>
    <w:p w:rsidR="00EB29E1" w:rsidRPr="00CF662B" w:rsidRDefault="00B65C47">
      <w:pPr>
        <w:rPr>
          <w:rFonts w:ascii="Arial Narrow" w:hAnsi="Arial Narrow"/>
        </w:rPr>
      </w:pPr>
    </w:p>
    <w:sectPr w:rsidR="00EB29E1" w:rsidRPr="00CF662B" w:rsidSect="007B411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C47" w:rsidRDefault="00B65C47" w:rsidP="00BA0961">
      <w:pPr>
        <w:spacing w:after="0" w:line="240" w:lineRule="auto"/>
      </w:pPr>
      <w:r>
        <w:separator/>
      </w:r>
    </w:p>
  </w:endnote>
  <w:endnote w:type="continuationSeparator" w:id="1">
    <w:p w:rsidR="00B65C47" w:rsidRDefault="00B65C47" w:rsidP="00BA0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C47" w:rsidRDefault="00B65C47" w:rsidP="00BA0961">
      <w:pPr>
        <w:spacing w:after="0" w:line="240" w:lineRule="auto"/>
      </w:pPr>
      <w:r>
        <w:separator/>
      </w:r>
    </w:p>
  </w:footnote>
  <w:footnote w:type="continuationSeparator" w:id="1">
    <w:p w:rsidR="00B65C47" w:rsidRDefault="00B65C47" w:rsidP="00BA0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61" w:rsidRDefault="00BA0961" w:rsidP="00BA0961">
    <w:pPr>
      <w:pStyle w:val="Nagwek"/>
    </w:pPr>
    <w:r>
      <w:t>SPRAWA 132/2025                                                                                                      załącznik nr 9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755E"/>
    <w:multiLevelType w:val="hybridMultilevel"/>
    <w:tmpl w:val="C90A34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4506F"/>
    <w:multiLevelType w:val="hybridMultilevel"/>
    <w:tmpl w:val="E668A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A2C4F"/>
    <w:multiLevelType w:val="multilevel"/>
    <w:tmpl w:val="7AD2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D074BC"/>
    <w:multiLevelType w:val="multilevel"/>
    <w:tmpl w:val="DB22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885424A"/>
    <w:multiLevelType w:val="multilevel"/>
    <w:tmpl w:val="CC00C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323BC8"/>
    <w:multiLevelType w:val="multilevel"/>
    <w:tmpl w:val="3702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FBE1F4F"/>
    <w:multiLevelType w:val="multilevel"/>
    <w:tmpl w:val="23E8F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1E9555B"/>
    <w:multiLevelType w:val="hybridMultilevel"/>
    <w:tmpl w:val="BCD0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4E6A8B"/>
    <w:multiLevelType w:val="hybridMultilevel"/>
    <w:tmpl w:val="361E7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662B"/>
    <w:rsid w:val="002B049F"/>
    <w:rsid w:val="00541F64"/>
    <w:rsid w:val="006E2928"/>
    <w:rsid w:val="007B4114"/>
    <w:rsid w:val="008D58A6"/>
    <w:rsid w:val="00901EA5"/>
    <w:rsid w:val="00B65C47"/>
    <w:rsid w:val="00BA0961"/>
    <w:rsid w:val="00C17428"/>
    <w:rsid w:val="00CF6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662B"/>
    <w:rPr>
      <w:b/>
      <w:bCs/>
    </w:rPr>
  </w:style>
  <w:style w:type="paragraph" w:styleId="Akapitzlist">
    <w:name w:val="List Paragraph"/>
    <w:basedOn w:val="Normalny"/>
    <w:uiPriority w:val="34"/>
    <w:qFormat/>
    <w:rsid w:val="00CF662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A0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0961"/>
  </w:style>
  <w:style w:type="paragraph" w:styleId="Stopka">
    <w:name w:val="footer"/>
    <w:basedOn w:val="Normalny"/>
    <w:link w:val="StopkaZnak"/>
    <w:uiPriority w:val="99"/>
    <w:semiHidden/>
    <w:unhideWhenUsed/>
    <w:rsid w:val="00BA0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A09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8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3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728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2025-12-23T09:56:00Z</dcterms:created>
  <dcterms:modified xsi:type="dcterms:W3CDTF">2025-12-23T09:56:00Z</dcterms:modified>
</cp:coreProperties>
</file>