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95668BC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390B09">
        <w:rPr>
          <w:rFonts w:ascii="Arial" w:hAnsi="Arial" w:cs="Arial"/>
          <w:b/>
        </w:rPr>
        <w:t>sukcesywną dostawę odczynników chemicznych przez okres 1 roku –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B00EB46" w:rsidR="00034DA1" w:rsidRPr="00034DA1" w:rsidRDefault="0054286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</w:t>
    </w:r>
    <w:r w:rsidR="00390B09">
      <w:rPr>
        <w:rFonts w:ascii="Arial" w:hAnsi="Arial" w:cs="Arial"/>
        <w:i/>
        <w:sz w:val="20"/>
      </w:rPr>
      <w:t>748</w:t>
    </w:r>
    <w:r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0B09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286C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PD</cp:lastModifiedBy>
  <cp:revision>15</cp:revision>
  <cp:lastPrinted>2024-06-27T11:07:00Z</cp:lastPrinted>
  <dcterms:created xsi:type="dcterms:W3CDTF">2023-11-24T12:01:00Z</dcterms:created>
  <dcterms:modified xsi:type="dcterms:W3CDTF">2025-12-04T12:58:00Z</dcterms:modified>
</cp:coreProperties>
</file>