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87C3AD" w14:textId="47360F87" w:rsidR="002578E4" w:rsidRPr="00080D91" w:rsidRDefault="00766EF8" w:rsidP="00080D91">
            <w:pPr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766EF8">
              <w:rPr>
                <w:rFonts w:ascii="Times New Roman" w:hAnsi="Times New Roman"/>
                <w:sz w:val="24"/>
                <w:szCs w:val="24"/>
              </w:rPr>
              <w:t>Sprzęt jednorazowy dla Bloku Operacyjnego - dla zaawansowanych procedur onkologicznych w laparoskopii i laparotomii - krwawienia i nieszczelności leczone endoskopowo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5321738A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66EF8">
              <w:rPr>
                <w:rFonts w:ascii="Times New Roman" w:eastAsia="Times New Roman" w:hAnsi="Times New Roman"/>
                <w:bCs/>
                <w:lang w:eastAsia="pl-PL"/>
              </w:rPr>
              <w:t>4/2026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6EF8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037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2025-06-06T08:03:00Z</dcterms:created>
  <dcterms:modified xsi:type="dcterms:W3CDTF">2026-01-15T10:27:00Z</dcterms:modified>
</cp:coreProperties>
</file>