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619D" w14:textId="77777777" w:rsidR="0077429B" w:rsidRPr="008C39DC" w:rsidRDefault="0077429B" w:rsidP="0077429B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8C39DC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8C39DC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7B297DE6" w14:textId="77777777" w:rsidR="0077429B" w:rsidRDefault="0077429B" w:rsidP="0077429B">
      <w:pPr>
        <w:spacing w:line="360" w:lineRule="auto"/>
        <w:jc w:val="right"/>
        <w:rPr>
          <w:rFonts w:ascii="Century Gothic" w:hAnsi="Century Gothic" w:cstheme="minorHAnsi"/>
          <w:b/>
          <w:bCs/>
          <w:sz w:val="16"/>
          <w:szCs w:val="16"/>
        </w:rPr>
      </w:pPr>
    </w:p>
    <w:p w14:paraId="0213F720" w14:textId="427E1CF3" w:rsidR="0040276C" w:rsidRPr="00BF60C5" w:rsidRDefault="0040276C" w:rsidP="0077429B">
      <w:pPr>
        <w:spacing w:line="360" w:lineRule="auto"/>
        <w:ind w:left="-284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BF60C5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315F0858" w14:textId="77777777" w:rsidR="0040276C" w:rsidRPr="00BF60C5" w:rsidRDefault="00F379A3" w:rsidP="0077429B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BF60C5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BF60C5" w:rsidRPr="00BF60C5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>2</w:t>
      </w:r>
    </w:p>
    <w:p w14:paraId="25CFEFA3" w14:textId="77777777" w:rsidR="00F379A3" w:rsidRPr="00BF60C5" w:rsidRDefault="00F379A3" w:rsidP="0077429B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3529079F" w14:textId="77777777" w:rsidR="0040276C" w:rsidRPr="00BF60C5" w:rsidRDefault="0040276C" w:rsidP="0077429B">
      <w:pPr>
        <w:spacing w:after="0" w:line="360" w:lineRule="auto"/>
        <w:ind w:left="-284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40276C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Pomp</w:t>
      </w:r>
      <w:r w:rsidR="00BF60C5" w:rsidRPr="00BF60C5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y</w:t>
      </w:r>
      <w:r w:rsidRPr="0040276C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infuzyjn</w:t>
      </w:r>
      <w:r w:rsidR="00BF60C5" w:rsidRPr="00BF60C5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e</w:t>
      </w:r>
      <w:r w:rsidRPr="0040276C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jednostrzykawkow</w:t>
      </w:r>
      <w:r w:rsidR="00BF60C5" w:rsidRPr="00BF60C5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e – 17 szt.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79"/>
        <w:gridCol w:w="72"/>
        <w:gridCol w:w="4395"/>
        <w:gridCol w:w="2551"/>
        <w:gridCol w:w="2126"/>
      </w:tblGrid>
      <w:tr w:rsidR="0040276C" w:rsidRPr="00BF60C5" w14:paraId="6BC84A0C" w14:textId="77777777" w:rsidTr="00BF60C5">
        <w:trPr>
          <w:trHeight w:val="844"/>
        </w:trPr>
        <w:tc>
          <w:tcPr>
            <w:tcW w:w="779" w:type="dxa"/>
            <w:noWrap/>
            <w:vAlign w:val="center"/>
            <w:hideMark/>
          </w:tcPr>
          <w:p w14:paraId="2A1E96C4" w14:textId="77777777" w:rsidR="0040276C" w:rsidRPr="00BF60C5" w:rsidRDefault="0040276C" w:rsidP="00BF60C5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467" w:type="dxa"/>
            <w:gridSpan w:val="2"/>
            <w:vAlign w:val="center"/>
            <w:hideMark/>
          </w:tcPr>
          <w:p w14:paraId="728A9BFE" w14:textId="77777777" w:rsidR="0040276C" w:rsidRPr="00BF60C5" w:rsidRDefault="0040276C" w:rsidP="00BF60C5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4A8F585B" w14:textId="77777777" w:rsidR="0040276C" w:rsidRPr="00BF60C5" w:rsidRDefault="0040276C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783D8946" w14:textId="77777777" w:rsidR="0040276C" w:rsidRPr="00BF60C5" w:rsidRDefault="0040276C" w:rsidP="00BF60C5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40276C" w:rsidRPr="00BF60C5" w14:paraId="55612B0F" w14:textId="77777777" w:rsidTr="00BF60C5">
        <w:trPr>
          <w:trHeight w:val="372"/>
        </w:trPr>
        <w:tc>
          <w:tcPr>
            <w:tcW w:w="9923" w:type="dxa"/>
            <w:gridSpan w:val="5"/>
            <w:noWrap/>
            <w:vAlign w:val="center"/>
            <w:hideMark/>
          </w:tcPr>
          <w:p w14:paraId="7DCDA5DE" w14:textId="77777777" w:rsidR="0040276C" w:rsidRPr="00BF60C5" w:rsidRDefault="0040276C" w:rsidP="00BF60C5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F60C5">
              <w:rPr>
                <w:rFonts w:ascii="Century Gothic" w:hAnsi="Century Gothic"/>
                <w:b/>
                <w:bCs/>
                <w:sz w:val="16"/>
                <w:szCs w:val="16"/>
              </w:rPr>
              <w:t>Skład zestawu:</w:t>
            </w:r>
          </w:p>
        </w:tc>
      </w:tr>
      <w:tr w:rsidR="00F379A3" w:rsidRPr="00BF60C5" w14:paraId="0D2E1CAB" w14:textId="77777777" w:rsidTr="00BF60C5">
        <w:trPr>
          <w:trHeight w:val="203"/>
        </w:trPr>
        <w:tc>
          <w:tcPr>
            <w:tcW w:w="851" w:type="dxa"/>
            <w:gridSpan w:val="2"/>
            <w:noWrap/>
            <w:vAlign w:val="center"/>
          </w:tcPr>
          <w:p w14:paraId="0BBDD092" w14:textId="77777777" w:rsidR="00F379A3" w:rsidRPr="00E51A08" w:rsidRDefault="00F379A3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0BF716A8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212CE58D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526F26BE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0E0A0AD8" w14:textId="77777777" w:rsidTr="00BF60C5">
        <w:trPr>
          <w:trHeight w:val="406"/>
        </w:trPr>
        <w:tc>
          <w:tcPr>
            <w:tcW w:w="851" w:type="dxa"/>
            <w:gridSpan w:val="2"/>
            <w:noWrap/>
            <w:vAlign w:val="center"/>
          </w:tcPr>
          <w:p w14:paraId="3D0E9733" w14:textId="77777777" w:rsidR="00F379A3" w:rsidRPr="00E51A08" w:rsidRDefault="00F379A3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3CB5983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5B35FC8F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4126F176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78BD1449" w14:textId="77777777" w:rsidTr="00BF60C5">
        <w:trPr>
          <w:trHeight w:val="70"/>
        </w:trPr>
        <w:tc>
          <w:tcPr>
            <w:tcW w:w="851" w:type="dxa"/>
            <w:gridSpan w:val="2"/>
            <w:noWrap/>
            <w:vAlign w:val="center"/>
          </w:tcPr>
          <w:p w14:paraId="324EC52E" w14:textId="77777777" w:rsidR="00F379A3" w:rsidRPr="00E51A08" w:rsidRDefault="00F379A3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12EF3ED8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7F4AA2BB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6D51DDF6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5E7D4491" w14:textId="77777777" w:rsidTr="00BF60C5">
        <w:trPr>
          <w:trHeight w:val="256"/>
        </w:trPr>
        <w:tc>
          <w:tcPr>
            <w:tcW w:w="851" w:type="dxa"/>
            <w:gridSpan w:val="2"/>
            <w:noWrap/>
            <w:vAlign w:val="center"/>
          </w:tcPr>
          <w:p w14:paraId="08C02058" w14:textId="77777777" w:rsidR="00F379A3" w:rsidRPr="00E51A08" w:rsidRDefault="00F379A3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4DA59221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Rok produkcji (nie wcześniej 2025 r., sprzęt fabrycznie  nowy) nie rekondycjonowany, nie powystawowy</w:t>
            </w:r>
          </w:p>
        </w:tc>
        <w:tc>
          <w:tcPr>
            <w:tcW w:w="2551" w:type="dxa"/>
            <w:noWrap/>
            <w:vAlign w:val="center"/>
          </w:tcPr>
          <w:p w14:paraId="63E3E4BC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8CAFDF4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F60C5" w:rsidRPr="00BF60C5" w14:paraId="11CC8F7F" w14:textId="77777777" w:rsidTr="00E51A08">
        <w:trPr>
          <w:trHeight w:val="1200"/>
        </w:trPr>
        <w:tc>
          <w:tcPr>
            <w:tcW w:w="851" w:type="dxa"/>
            <w:gridSpan w:val="2"/>
            <w:noWrap/>
            <w:vAlign w:val="center"/>
          </w:tcPr>
          <w:p w14:paraId="06BC611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3E5973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strzykawkowa sterowana elektronicznie przeznaczona do stosowania u dorosłych, dzieci oraz noworodków w celu okresowego lub ciągłego podawania pozajelitowych i dojelitowych płynów klinicznie akceptowanymi drogami podania. Należą do nich droga dożylna, dotętnicowa, podskórna, zewnątrzoponowa i dojelitowa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-</w:t>
            </w:r>
            <w:r w:rsidRPr="00E51A08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17</w:t>
            </w:r>
            <w:r w:rsidRPr="00BF60C5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AE6735" w:rsidRPr="00BF60C5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szt.</w:t>
            </w:r>
          </w:p>
        </w:tc>
        <w:tc>
          <w:tcPr>
            <w:tcW w:w="2551" w:type="dxa"/>
            <w:noWrap/>
            <w:vAlign w:val="center"/>
            <w:hideMark/>
          </w:tcPr>
          <w:p w14:paraId="19E69CA8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F1488B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7AC82F5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FA9C085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E4B8FC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Napięcie 11-16 V DC, możliwość zasilania przy użyciu zasilacza zewnętrznego </w:t>
            </w:r>
            <w:r w:rsidR="004503E9"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(17</w:t>
            </w:r>
            <w:r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AE6735"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szt.</w:t>
            </w:r>
            <w:r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w dostawie</w:t>
            </w:r>
            <w:r w:rsidR="004503E9"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  <w:r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lub  stacji dokującej typ Space będącej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13D86B1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0910CF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D31206C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028AF46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3D8C1B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Dokładność mechaniczna &lt;&lt;±0,5%</w:t>
            </w:r>
          </w:p>
        </w:tc>
        <w:tc>
          <w:tcPr>
            <w:tcW w:w="2551" w:type="dxa"/>
            <w:noWrap/>
            <w:vAlign w:val="center"/>
            <w:hideMark/>
          </w:tcPr>
          <w:p w14:paraId="1D8D10B5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7C6B59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F5BCEDA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0B59C69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23E456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Strzykawka mocowana od przodu  </w:t>
            </w:r>
          </w:p>
        </w:tc>
        <w:tc>
          <w:tcPr>
            <w:tcW w:w="2551" w:type="dxa"/>
            <w:noWrap/>
            <w:vAlign w:val="center"/>
            <w:hideMark/>
          </w:tcPr>
          <w:p w14:paraId="09FA6C4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7186EB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42C2E9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01B446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11C20F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Automatyczny napęd strzykawki</w:t>
            </w:r>
          </w:p>
        </w:tc>
        <w:tc>
          <w:tcPr>
            <w:tcW w:w="2551" w:type="dxa"/>
            <w:noWrap/>
            <w:vAlign w:val="center"/>
            <w:hideMark/>
          </w:tcPr>
          <w:p w14:paraId="0F2AC0F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6396D8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3FFBFDE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E04EAA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DAB6D5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Zabezpieczenie przed swobodnym przepływem, niezależnie od położenia głowicy napędowej</w:t>
            </w:r>
          </w:p>
        </w:tc>
        <w:tc>
          <w:tcPr>
            <w:tcW w:w="2551" w:type="dxa"/>
            <w:noWrap/>
            <w:vAlign w:val="center"/>
            <w:hideMark/>
          </w:tcPr>
          <w:p w14:paraId="548ED74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6E4D659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B3E3F90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5706F94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57568F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Pompa skalibrowana do pracy ze strzykawkami o objętości 2/3, 5, 10, 20 i 50/60 ml różnych typów oraz różnych producentów  </w:t>
            </w:r>
          </w:p>
        </w:tc>
        <w:tc>
          <w:tcPr>
            <w:tcW w:w="2551" w:type="dxa"/>
            <w:noWrap/>
            <w:vAlign w:val="center"/>
            <w:hideMark/>
          </w:tcPr>
          <w:p w14:paraId="1449A52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518A9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BDAE117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E192B1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696D889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pompy max.1,5 kg</w:t>
            </w:r>
          </w:p>
        </w:tc>
        <w:tc>
          <w:tcPr>
            <w:tcW w:w="2551" w:type="dxa"/>
            <w:noWrap/>
            <w:vAlign w:val="center"/>
            <w:hideMark/>
          </w:tcPr>
          <w:p w14:paraId="43FDEF0A" w14:textId="77777777" w:rsidR="00BF60C5" w:rsidRPr="00BF60C5" w:rsidRDefault="0096548F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</w:t>
            </w:r>
            <w:r w:rsidR="00BF60C5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7FC8225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&lt; 1,5 kg = 5 pkt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= 1,5 kg = 0 pkt</w:t>
            </w:r>
          </w:p>
        </w:tc>
      </w:tr>
      <w:tr w:rsidR="00BF60C5" w:rsidRPr="00BF60C5" w14:paraId="700E3294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6F9F5B6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E54367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Wymiary max. 250 x 70 x 160 mm (szer. x wys. x gł.)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Pompa </w:t>
            </w:r>
            <w:r w:rsidR="00AE6735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zajmująca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przestrzeń nie większą niż 3 000 cm3</w:t>
            </w:r>
          </w:p>
        </w:tc>
        <w:tc>
          <w:tcPr>
            <w:tcW w:w="2551" w:type="dxa"/>
            <w:noWrap/>
            <w:vAlign w:val="center"/>
            <w:hideMark/>
          </w:tcPr>
          <w:p w14:paraId="0FBA239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2F304D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54B47E5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BB73CB1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FA045E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Klawiatura nawigacyjna do wprowadzania parametrów i obsługi pompy</w:t>
            </w:r>
          </w:p>
        </w:tc>
        <w:tc>
          <w:tcPr>
            <w:tcW w:w="2551" w:type="dxa"/>
            <w:noWrap/>
            <w:vAlign w:val="center"/>
            <w:hideMark/>
          </w:tcPr>
          <w:p w14:paraId="72A7065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CAAF37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6E86180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411D4FE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B24BB9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44F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Odłączalny uchwyt do przenoszenia zestaw</w:t>
            </w:r>
            <w:r w:rsidR="004503E9" w:rsidRPr="009044F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u</w:t>
            </w:r>
            <w:r w:rsidRPr="009044F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2 i 3 pomp zasilanych jednym przewodem </w:t>
            </w:r>
            <w:r w:rsidR="00AE673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- </w:t>
            </w:r>
            <w:r w:rsidRPr="009044FF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 w:rsidR="00E51A08" w:rsidRPr="009044FF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9044FF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szt</w:t>
            </w:r>
            <w:r w:rsidR="00E51A08" w:rsidRPr="009044F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551" w:type="dxa"/>
            <w:noWrap/>
            <w:vAlign w:val="center"/>
            <w:hideMark/>
          </w:tcPr>
          <w:p w14:paraId="0B3E3760" w14:textId="77777777" w:rsidR="00BF60C5" w:rsidRPr="00BF60C5" w:rsidRDefault="009D7E2D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BF60C5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noWrap/>
            <w:vAlign w:val="center"/>
            <w:hideMark/>
          </w:tcPr>
          <w:p w14:paraId="6CDF205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7CEEA7A9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BF158D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4E94AA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podłączenia odłączalnego uchwytu do przenoszenia i mocowania pompy do rur i szyn medycznych pionowych i poziomych </w:t>
            </w:r>
          </w:p>
        </w:tc>
        <w:tc>
          <w:tcPr>
            <w:tcW w:w="2551" w:type="dxa"/>
            <w:noWrap/>
            <w:vAlign w:val="center"/>
            <w:hideMark/>
          </w:tcPr>
          <w:p w14:paraId="14E1C4C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446030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0EA242C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AA2FE3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9FFA60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łączenia 2 i 3 pomp w moduły bez użycia stacji dokującej. </w:t>
            </w:r>
          </w:p>
        </w:tc>
        <w:tc>
          <w:tcPr>
            <w:tcW w:w="2551" w:type="dxa"/>
            <w:noWrap/>
            <w:vAlign w:val="center"/>
            <w:hideMark/>
          </w:tcPr>
          <w:p w14:paraId="2F92164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26DFF5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78A14A99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17A64DB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5F7BFA3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Podświetlany ekran i przyciski z </w:t>
            </w:r>
            <w:r w:rsidR="00E51A08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możliwością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regulacji na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min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323B66A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</w:t>
            </w:r>
            <w:r w:rsidR="002A3B79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2BDDD78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48923EE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EB7CE8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C7A460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głośności w zakresie od 59dBA do 74dBA na 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min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09DDCE4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</w:t>
            </w:r>
            <w:r w:rsidR="002A3B79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1D3FD2D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5C25955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C342B6B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872661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jasności i kontrastu ekranu na 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min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67C2448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</w:t>
            </w:r>
            <w:r w:rsidR="002A3B79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22CB211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E251661" w14:textId="77777777" w:rsidTr="009044FF">
        <w:trPr>
          <w:trHeight w:val="648"/>
        </w:trPr>
        <w:tc>
          <w:tcPr>
            <w:tcW w:w="851" w:type="dxa"/>
            <w:gridSpan w:val="2"/>
            <w:noWrap/>
            <w:vAlign w:val="center"/>
          </w:tcPr>
          <w:p w14:paraId="6BE9FF1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AED420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Zasilanie z akumulatora wewnętrznego min 16 h. przy przepływie 5 ml/h.</w:t>
            </w:r>
          </w:p>
        </w:tc>
        <w:tc>
          <w:tcPr>
            <w:tcW w:w="2551" w:type="dxa"/>
            <w:noWrap/>
            <w:vAlign w:val="center"/>
            <w:hideMark/>
          </w:tcPr>
          <w:p w14:paraId="4B0A9A19" w14:textId="77777777" w:rsidR="00BF60C5" w:rsidRPr="00BF60C5" w:rsidRDefault="002A3B79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</w:t>
            </w:r>
            <w:r w:rsidR="00BF60C5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70C69A9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Czas pracy   &gt;16h = 5 pkt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Czas pracy ≤ 16h - 0 pkt</w:t>
            </w:r>
          </w:p>
        </w:tc>
      </w:tr>
      <w:tr w:rsidR="00BF60C5" w:rsidRPr="00BF60C5" w14:paraId="3F4410F1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FD84F65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86AAC7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wymiany akumulatora przez użytkownika bez użycia narzędzi.</w:t>
            </w:r>
          </w:p>
        </w:tc>
        <w:tc>
          <w:tcPr>
            <w:tcW w:w="2551" w:type="dxa"/>
            <w:noWrap/>
            <w:vAlign w:val="center"/>
            <w:hideMark/>
          </w:tcPr>
          <w:p w14:paraId="5F66EB61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A60D12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4A51B3F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14AD69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F179EC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programowania parametrów infuzji w mg, mcg, U lub mmol,   z uwzględnieniem lub nie masy ciała w odniesieniu do czasu ( np. mg/kg/min; mg/kg/h; mg/kg/24h) </w:t>
            </w:r>
          </w:p>
        </w:tc>
        <w:tc>
          <w:tcPr>
            <w:tcW w:w="2551" w:type="dxa"/>
            <w:noWrap/>
            <w:vAlign w:val="center"/>
            <w:hideMark/>
          </w:tcPr>
          <w:p w14:paraId="6831E631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D58D9B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759C3502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D130A9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E8A205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Zakres prędkości infuzji podstawowej min. 0,1 do 999,9 ml/h  Prędkość infuzji w zakresie od 0,1 - 99,99ml/h programowana co 0,01ml/godz. </w:t>
            </w:r>
          </w:p>
        </w:tc>
        <w:tc>
          <w:tcPr>
            <w:tcW w:w="2551" w:type="dxa"/>
            <w:noWrap/>
            <w:vAlign w:val="center"/>
            <w:hideMark/>
          </w:tcPr>
          <w:p w14:paraId="3408840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5BCC34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CC6FC76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4AA931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1EDA0C36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Prędkości  bolusa min:</w:t>
            </w:r>
          </w:p>
        </w:tc>
        <w:tc>
          <w:tcPr>
            <w:tcW w:w="2551" w:type="dxa"/>
            <w:noWrap/>
            <w:vAlign w:val="center"/>
            <w:hideMark/>
          </w:tcPr>
          <w:p w14:paraId="2E133D33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31F8F3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DA30EB0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8D02AE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50A0F25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poj.3ml =1-150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2DF3DFA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FD6C72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09C7D59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37768F4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37022B96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poj.5ml =1-300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694EF64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549F08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1679641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E819C2C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D50F97B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poj.10ml =1-500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567FD80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19021A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0C7D482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DFBF0E3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55551F6D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poj.20ml =1-800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3DA36A6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136723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11EB9C5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D30721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695C7A6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poj.30ml =1-1200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6B192FB3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047E4B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956B3E7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2C97A4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663F89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poj.50/60ml =1-1800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74447EB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2BD0AD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B663AB1" w14:textId="77777777" w:rsidTr="00E51A08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7E4062C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71B916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utworzenia Bazy Leków używanych w infuzjoterapii na terenie szpitala  z możliwością zastosowania oprogramowania do tworzenia Bibliotek Leków na poszczególne oddziały.</w:t>
            </w:r>
          </w:p>
        </w:tc>
        <w:tc>
          <w:tcPr>
            <w:tcW w:w="2551" w:type="dxa"/>
            <w:noWrap/>
            <w:vAlign w:val="center"/>
            <w:hideMark/>
          </w:tcPr>
          <w:p w14:paraId="47A57C4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29D663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B2279E6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BE690C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74D4BD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skonfigurowania do min. 50 oddziałów w jednej pompie.</w:t>
            </w:r>
          </w:p>
        </w:tc>
        <w:tc>
          <w:tcPr>
            <w:tcW w:w="2551" w:type="dxa"/>
            <w:noWrap/>
            <w:vAlign w:val="center"/>
            <w:hideMark/>
          </w:tcPr>
          <w:p w14:paraId="4B63EC7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374991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D2ECB9F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4AB4545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98D444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Biblioteka Leków zawierająca min.1 000  leków z możliwością podzielenia na min. 30 grup.  </w:t>
            </w:r>
          </w:p>
        </w:tc>
        <w:tc>
          <w:tcPr>
            <w:tcW w:w="2551" w:type="dxa"/>
            <w:noWrap/>
            <w:vAlign w:val="center"/>
            <w:hideMark/>
          </w:tcPr>
          <w:p w14:paraId="2B822ED1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C4AD08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CC1B0D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74660E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200B5C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Biblioteka leków zawierająca po 10 stężeń dla każdego leku.</w:t>
            </w:r>
          </w:p>
        </w:tc>
        <w:tc>
          <w:tcPr>
            <w:tcW w:w="2551" w:type="dxa"/>
            <w:noWrap/>
            <w:vAlign w:val="center"/>
            <w:hideMark/>
          </w:tcPr>
          <w:p w14:paraId="004AFCD9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7D2CAF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2CBB88E" w14:textId="77777777" w:rsidTr="00E51A08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3DAAE08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F75925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Leki zawarte w Bibliotece Leków powiązane z parametrami infuzji (limity względne min-max;limity bezwzględne min-max, parametry standardowe), możliwość wyświetlania naprzemiennego nazwy leku i/lub wybranych parametrów infuzji. </w:t>
            </w:r>
          </w:p>
        </w:tc>
        <w:tc>
          <w:tcPr>
            <w:tcW w:w="2551" w:type="dxa"/>
            <w:noWrap/>
            <w:vAlign w:val="center"/>
            <w:hideMark/>
          </w:tcPr>
          <w:p w14:paraId="3C7CA70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5211FC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00D0049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C73F514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78DE3C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551" w:type="dxa"/>
            <w:noWrap/>
            <w:vAlign w:val="center"/>
            <w:hideMark/>
          </w:tcPr>
          <w:p w14:paraId="3967DEC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0DB16F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D804311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DD0C25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CBC6AE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prowadzenie infuzji w trybie okresowym, </w:t>
            </w:r>
            <w:r w:rsidR="004F0818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składającym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się z dwóch faz: bolusa i prędkości.</w:t>
            </w:r>
          </w:p>
        </w:tc>
        <w:tc>
          <w:tcPr>
            <w:tcW w:w="2551" w:type="dxa"/>
            <w:noWrap/>
            <w:vAlign w:val="center"/>
            <w:hideMark/>
          </w:tcPr>
          <w:p w14:paraId="135F18C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24789D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176CD0A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C99B8F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59DB1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551" w:type="dxa"/>
            <w:noWrap/>
            <w:vAlign w:val="center"/>
            <w:hideMark/>
          </w:tcPr>
          <w:p w14:paraId="523792E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90C21B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33E9DB4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5A4C4C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D1D354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przejmowanie infuzji przez kolejną pompę natychmiast po zakończeniu infuzji w poprzedniej  dla pomp pracujących w stacji dokującej</w:t>
            </w:r>
          </w:p>
        </w:tc>
        <w:tc>
          <w:tcPr>
            <w:tcW w:w="2551" w:type="dxa"/>
            <w:noWrap/>
            <w:vAlign w:val="center"/>
            <w:hideMark/>
          </w:tcPr>
          <w:p w14:paraId="649270E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1018B0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78E4711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434AAED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38E2A3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Podjęcie infuzji przez  pompę przejmującą bez konieczności naciskania przycisku START ani jakiegokolwiek innego. </w:t>
            </w:r>
          </w:p>
        </w:tc>
        <w:tc>
          <w:tcPr>
            <w:tcW w:w="2551" w:type="dxa"/>
            <w:noWrap/>
            <w:vAlign w:val="center"/>
            <w:hideMark/>
          </w:tcPr>
          <w:p w14:paraId="0FF5DA25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5BE7B5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98C1469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8493331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B3D945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Przekazywanie parametrów infuzji pomiędzy pompami następuje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0471FBD9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3D766B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77314DB9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DF7ADC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1D2768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Pompy podczas pracy w trybie przejęcia są czytelnie opisane symbolami jednoznacznie wskazującymi która pompa prowadzi infuzję a która oczekuje na podjęcie pracy</w:t>
            </w:r>
          </w:p>
        </w:tc>
        <w:tc>
          <w:tcPr>
            <w:tcW w:w="2551" w:type="dxa"/>
            <w:noWrap/>
            <w:vAlign w:val="center"/>
            <w:hideMark/>
          </w:tcPr>
          <w:p w14:paraId="5219B43E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F2485E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BD9E40D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97FA081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03D36B9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Programowanie pracy w trybie przejęcie odbywa się z pozycji klawiatury pompy, wykluczając ryzyko pomyłki zaprogramowania niewłaściwej pompy.</w:t>
            </w:r>
          </w:p>
        </w:tc>
        <w:tc>
          <w:tcPr>
            <w:tcW w:w="2551" w:type="dxa"/>
            <w:noWrap/>
            <w:vAlign w:val="center"/>
            <w:hideMark/>
          </w:tcPr>
          <w:p w14:paraId="77694A7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D59DF5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205A79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10E793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34D69E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rozszerzenia  oprogramowania o tryb  TCI  (ang. Target Controlled Infusion) </w:t>
            </w:r>
          </w:p>
        </w:tc>
        <w:tc>
          <w:tcPr>
            <w:tcW w:w="2551" w:type="dxa"/>
            <w:noWrap/>
            <w:vAlign w:val="center"/>
            <w:hideMark/>
          </w:tcPr>
          <w:p w14:paraId="7BE3C55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C1663F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90CFFAC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DFC046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840EEF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Propofolu różnych </w:t>
            </w:r>
            <w:r w:rsidR="004F0818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producentów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 stężeniu 0,5%, 1% i 2%. </w:t>
            </w:r>
          </w:p>
        </w:tc>
        <w:tc>
          <w:tcPr>
            <w:tcW w:w="2551" w:type="dxa"/>
            <w:noWrap/>
            <w:vAlign w:val="center"/>
            <w:hideMark/>
          </w:tcPr>
          <w:p w14:paraId="1E1CE2A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53122B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2014183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2B950BC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A5B21A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Protokół podawania Propofolu, model Marsch oraz Schnider (do wyboru)</w:t>
            </w:r>
          </w:p>
        </w:tc>
        <w:tc>
          <w:tcPr>
            <w:tcW w:w="2551" w:type="dxa"/>
            <w:noWrap/>
            <w:vAlign w:val="center"/>
            <w:hideMark/>
          </w:tcPr>
          <w:p w14:paraId="1527BA79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029788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30E754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53B0519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43F670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zastosowania Remifentanylu różnych producentów w stężeniu 2% i 5%.</w:t>
            </w:r>
          </w:p>
        </w:tc>
        <w:tc>
          <w:tcPr>
            <w:tcW w:w="2551" w:type="dxa"/>
            <w:noWrap/>
            <w:vAlign w:val="center"/>
            <w:hideMark/>
          </w:tcPr>
          <w:p w14:paraId="0F5F3974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32BD16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A76E9C6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CB6ECF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AE232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zastosowania Sufentanylu różnych producentów w stężeniu 0,5% i 5%</w:t>
            </w:r>
          </w:p>
        </w:tc>
        <w:tc>
          <w:tcPr>
            <w:tcW w:w="2551" w:type="dxa"/>
            <w:noWrap/>
            <w:vAlign w:val="center"/>
            <w:hideMark/>
          </w:tcPr>
          <w:p w14:paraId="7386DA5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77339A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AF03AB0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EF3164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EABDC8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podania dodatkowego bolusa w trakcie trwania terapii TCI . </w:t>
            </w:r>
          </w:p>
        </w:tc>
        <w:tc>
          <w:tcPr>
            <w:tcW w:w="2551" w:type="dxa"/>
            <w:noWrap/>
            <w:vAlign w:val="center"/>
            <w:hideMark/>
          </w:tcPr>
          <w:p w14:paraId="3238A67A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25751F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120CE14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D083020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E2B32B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prowadzenia znieczulenia zewnątrzoponowego </w:t>
            </w:r>
          </w:p>
        </w:tc>
        <w:tc>
          <w:tcPr>
            <w:tcW w:w="2551" w:type="dxa"/>
            <w:noWrap/>
            <w:vAlign w:val="center"/>
            <w:hideMark/>
          </w:tcPr>
          <w:p w14:paraId="7A44557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A8F93A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68B0454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28EAFA1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6F48F92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trybu PCA lub zastosowania przycisku pacjenta będącego na wyposażeniu</w:t>
            </w:r>
          </w:p>
        </w:tc>
        <w:tc>
          <w:tcPr>
            <w:tcW w:w="2551" w:type="dxa"/>
            <w:noWrap/>
            <w:vAlign w:val="center"/>
            <w:hideMark/>
          </w:tcPr>
          <w:p w14:paraId="1F34DD4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A1AF08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E30540F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E31B959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4A052F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ciśnienia okluzji od 75 mmHg do 900mmHg, z wyborem na 9 poziomach.</w:t>
            </w:r>
          </w:p>
        </w:tc>
        <w:tc>
          <w:tcPr>
            <w:tcW w:w="2551" w:type="dxa"/>
            <w:noWrap/>
            <w:vAlign w:val="center"/>
            <w:hideMark/>
          </w:tcPr>
          <w:p w14:paraId="459B9A15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D72F51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4BBD31F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F1596FE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A4E7C6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rozszerzenia zakresu ciśnienia okluzji o trzy dodatkowe poziomy 10 mmHg, 30 mmHg, 50 mmHg</w:t>
            </w:r>
          </w:p>
        </w:tc>
        <w:tc>
          <w:tcPr>
            <w:tcW w:w="2551" w:type="dxa"/>
            <w:noWrap/>
            <w:vAlign w:val="center"/>
            <w:hideMark/>
          </w:tcPr>
          <w:p w14:paraId="1007EF2A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B6ECD0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09EF9DF" w14:textId="77777777" w:rsidTr="00E51A08">
        <w:trPr>
          <w:trHeight w:val="1200"/>
        </w:trPr>
        <w:tc>
          <w:tcPr>
            <w:tcW w:w="851" w:type="dxa"/>
            <w:gridSpan w:val="2"/>
            <w:noWrap/>
            <w:vAlign w:val="center"/>
          </w:tcPr>
          <w:p w14:paraId="349EF65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15E777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o czujnik skoku/spadku ciśnienia w linii - (okluzji i  rozłączenia linii) bez konieczności stosowania specjalnych drenów. Dokładność czujnika skoku/spadku ciśnienia w linii możliwa do ustawienia na trzech poziomach 2mmHg, 8mmHg, 20mmHg</w:t>
            </w:r>
          </w:p>
        </w:tc>
        <w:tc>
          <w:tcPr>
            <w:tcW w:w="2551" w:type="dxa"/>
            <w:noWrap/>
            <w:vAlign w:val="center"/>
            <w:hideMark/>
          </w:tcPr>
          <w:p w14:paraId="301B2CF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D97B8F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5259489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DE4D7AC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F32BE6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ciągłego pomiaru ciśnienia w linii w formie graficznej.  </w:t>
            </w:r>
          </w:p>
        </w:tc>
        <w:tc>
          <w:tcPr>
            <w:tcW w:w="2551" w:type="dxa"/>
            <w:noWrap/>
            <w:vAlign w:val="center"/>
            <w:hideMark/>
          </w:tcPr>
          <w:p w14:paraId="38BF0B8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429DD9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EBC6956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DC0209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EAF0C02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objętości do podania (VTBD) 0,1- 9999 ml</w:t>
            </w:r>
          </w:p>
        </w:tc>
        <w:tc>
          <w:tcPr>
            <w:tcW w:w="2551" w:type="dxa"/>
            <w:noWrap/>
            <w:vAlign w:val="center"/>
            <w:hideMark/>
          </w:tcPr>
          <w:p w14:paraId="5C6C89A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AEADA1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772CDFF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D21D3B3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5C32A21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czasu infuzji przynajmniej od 1min – 99:59 godzin</w:t>
            </w:r>
          </w:p>
        </w:tc>
        <w:tc>
          <w:tcPr>
            <w:tcW w:w="2551" w:type="dxa"/>
            <w:noWrap/>
            <w:vAlign w:val="center"/>
            <w:hideMark/>
          </w:tcPr>
          <w:p w14:paraId="0B34255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A89E71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4B3D5BA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A558069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D2C0EA4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stand-by programowana w zakresie 1 min - 23:59 godz.</w:t>
            </w:r>
          </w:p>
        </w:tc>
        <w:tc>
          <w:tcPr>
            <w:tcW w:w="2551" w:type="dxa"/>
            <w:noWrap/>
            <w:vAlign w:val="center"/>
            <w:hideMark/>
          </w:tcPr>
          <w:p w14:paraId="7E3A82E4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5BC527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6C382A0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21B1324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3BA2C5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przygotowana do rozbudowy o moduł do bezprzewodowej komunikacji pomp z komputerem poza stacją dokującą .</w:t>
            </w:r>
          </w:p>
        </w:tc>
        <w:tc>
          <w:tcPr>
            <w:tcW w:w="2551" w:type="dxa"/>
            <w:noWrap/>
            <w:vAlign w:val="center"/>
            <w:hideMark/>
          </w:tcPr>
          <w:p w14:paraId="3844AEE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DF763F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90317D5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5772A4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79E1D8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 przypadku niewłaściwej dawki 0.1 ml spowodowanej niepoprawnym działaniem urządzenia, pompa wyłączy się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37DF397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ACE61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DF3B9F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6B6114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1C2CFC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Alarmy niezbędne do bezpiecznego prowadzenia terapii.</w:t>
            </w:r>
          </w:p>
        </w:tc>
        <w:tc>
          <w:tcPr>
            <w:tcW w:w="2551" w:type="dxa"/>
            <w:noWrap/>
            <w:vAlign w:val="center"/>
            <w:hideMark/>
          </w:tcPr>
          <w:p w14:paraId="09A8E09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EBD445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9463131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A32E67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0DC04EF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Menu w języku polskim</w:t>
            </w:r>
          </w:p>
        </w:tc>
        <w:tc>
          <w:tcPr>
            <w:tcW w:w="2551" w:type="dxa"/>
            <w:noWrap/>
            <w:vAlign w:val="center"/>
            <w:hideMark/>
          </w:tcPr>
          <w:p w14:paraId="25A2AE74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D0B659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C37F784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4DA1A10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E26BBE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Historia pracy obejmująca 3000 wpisów.</w:t>
            </w:r>
          </w:p>
        </w:tc>
        <w:tc>
          <w:tcPr>
            <w:tcW w:w="2551" w:type="dxa"/>
            <w:noWrap/>
            <w:vAlign w:val="center"/>
            <w:hideMark/>
          </w:tcPr>
          <w:p w14:paraId="2F03F3A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5A5FF1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B2300C7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A1F347B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A2D2EF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współpracy z czytnikiem kodów kreskowych</w:t>
            </w:r>
          </w:p>
        </w:tc>
        <w:tc>
          <w:tcPr>
            <w:tcW w:w="2551" w:type="dxa"/>
            <w:noWrap/>
            <w:vAlign w:val="center"/>
            <w:hideMark/>
          </w:tcPr>
          <w:p w14:paraId="3270BE1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A39168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8F58462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8E1BF2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76F854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współpracy z systemem do kontrolowanej insulinoterapii będącym na wyposażeniu </w:t>
            </w:r>
            <w:r w:rsidR="002A3B79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1C57BDA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D1425A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D2D1DA5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DE4823D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265217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pracy pompy w środowisku MRI - w dedykowanej stacji będącej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7CC0F098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0DB03C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4C14A89" w14:textId="77777777" w:rsidTr="00E51A08">
        <w:trPr>
          <w:trHeight w:val="870"/>
        </w:trPr>
        <w:tc>
          <w:tcPr>
            <w:tcW w:w="851" w:type="dxa"/>
            <w:gridSpan w:val="2"/>
            <w:noWrap/>
            <w:vAlign w:val="center"/>
          </w:tcPr>
          <w:p w14:paraId="06D724CD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6AB887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Zużycie energii - pobór mocy przez jedną pompę maksymalnie 8VA</w:t>
            </w:r>
          </w:p>
        </w:tc>
        <w:tc>
          <w:tcPr>
            <w:tcW w:w="2551" w:type="dxa"/>
            <w:noWrap/>
            <w:vAlign w:val="center"/>
            <w:hideMark/>
          </w:tcPr>
          <w:p w14:paraId="7DA01034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009A913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Najniższy pobór mocy = 10 pkt.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Pozostałe = 0 pkt.</w:t>
            </w:r>
          </w:p>
        </w:tc>
      </w:tr>
    </w:tbl>
    <w:p w14:paraId="46555106" w14:textId="77777777" w:rsidR="00EE0AAF" w:rsidRPr="00BF60C5" w:rsidRDefault="00EE0AAF" w:rsidP="00BF60C5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2552"/>
        <w:gridCol w:w="2126"/>
      </w:tblGrid>
      <w:tr w:rsidR="00F379A3" w:rsidRPr="00BF60C5" w14:paraId="1C08A501" w14:textId="77777777" w:rsidTr="00BF60C5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121DA8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BF60C5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BF60C5" w14:paraId="6544F094" w14:textId="77777777" w:rsidTr="00730E59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CB37" w14:textId="77777777" w:rsidR="00F379A3" w:rsidRPr="00BF60C5" w:rsidRDefault="00F379A3" w:rsidP="00BF60C5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CB21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9C23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1BAD1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44289E12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F379A3" w:rsidRPr="00BF60C5" w14:paraId="55874F0D" w14:textId="77777777" w:rsidTr="00730E59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4804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D8AA9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3AA1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060A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64605E7F" w14:textId="77777777" w:rsidTr="00730E5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8003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D3AD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4C7F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763E6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47263FE9" w14:textId="77777777" w:rsidTr="00730E59">
        <w:trPr>
          <w:trHeight w:val="24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1636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EFAEC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42 miesięcy – 7 pkt</w:t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F964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83A03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47FC6C13" w14:textId="77777777" w:rsidTr="00730E59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97AD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8D02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524E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463E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11C233EA" w14:textId="77777777" w:rsidTr="00730E5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ED8B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C2C4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A7CD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5210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4B86A715" w14:textId="77777777" w:rsidTr="00730E5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5479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B9632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E001D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72D6D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F60C5" w14:paraId="6C9B696D" w14:textId="77777777" w:rsidTr="00730E5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AD78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F8A18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188B8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6D80E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F60C5" w14:paraId="447564B1" w14:textId="77777777" w:rsidTr="00730E59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5A5C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344B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5F5EA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F597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774FF483" w14:textId="77777777" w:rsidTr="00730E5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B509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1932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D87D4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0A2BC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28F1E071" w14:textId="77777777" w:rsidTr="00730E59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4D36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2E1C5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BEB2D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A086B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F60C5" w14:paraId="5E3EE9BB" w14:textId="77777777" w:rsidTr="00730E5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145C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E7F0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A5D9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507F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2D50D1BE" w14:textId="77777777" w:rsidTr="00730E5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A3B8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A9C30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CF2E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E736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4E8499B3" w14:textId="77777777" w:rsidTr="00730E59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38AC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DF5F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24E4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0F74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56DA0DF2" w14:textId="77777777" w:rsidTr="00730E59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4995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C601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C4EA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F39D3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0655E2E5" w14:textId="77777777" w:rsidR="00F379A3" w:rsidRPr="00BF60C5" w:rsidRDefault="00F379A3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065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537"/>
        <w:gridCol w:w="2551"/>
        <w:gridCol w:w="2126"/>
      </w:tblGrid>
      <w:tr w:rsidR="00F379A3" w:rsidRPr="00BF60C5" w14:paraId="28FEF638" w14:textId="77777777" w:rsidTr="00730E59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7EE26D6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654A9B2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F60C5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BF60C5" w14:paraId="575DC5CA" w14:textId="77777777" w:rsidTr="00730E59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8389331" w14:textId="77777777" w:rsidR="00F379A3" w:rsidRPr="00BF60C5" w:rsidRDefault="00F379A3" w:rsidP="006D0A7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</w:tcBorders>
            <w:vAlign w:val="center"/>
          </w:tcPr>
          <w:p w14:paraId="0D739845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26A53DE6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446830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5FBBA6A6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379B3BE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EF1664D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7DEE6F7C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F37EE3E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2D1F05D6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CF51E40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2963EF7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78FA48AB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4C2B824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3B9F29F8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A2FA488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30C7BB51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7969D7F5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C8EC16B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5EF89719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419F1EC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5262DAFA" w14:textId="77777777" w:rsidR="00F379A3" w:rsidRPr="00BF60C5" w:rsidRDefault="004F0818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 w:rsidRPr="00BF60C5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35778668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56C189A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30124ADF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1C97B0B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9820A1F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Oświadczenie potwierdzające zgodność z dyrektywą RoHS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7CCB18C8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682B97A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1BB3E54F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8CF26C7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4E0F6AFF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40889626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2F4FDA8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F70C1EB" w14:textId="77777777" w:rsidR="00F379A3" w:rsidRPr="00BF60C5" w:rsidRDefault="00F379A3" w:rsidP="00BF60C5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03CC3362" w14:textId="77777777" w:rsidR="00F379A3" w:rsidRPr="00BF60C5" w:rsidRDefault="00F379A3" w:rsidP="00BF60C5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BF60C5">
        <w:rPr>
          <w:rFonts w:ascii="Century Gothic" w:hAnsi="Century Gothic"/>
          <w:b/>
          <w:sz w:val="16"/>
          <w:szCs w:val="16"/>
        </w:rPr>
        <w:t xml:space="preserve">SUMA punktów </w:t>
      </w:r>
      <w:r w:rsidR="00BF60C5" w:rsidRPr="00BF60C5">
        <w:rPr>
          <w:rFonts w:ascii="Century Gothic" w:hAnsi="Century Gothic"/>
          <w:b/>
          <w:sz w:val="16"/>
          <w:szCs w:val="16"/>
        </w:rPr>
        <w:t>2</w:t>
      </w:r>
      <w:r w:rsidRPr="00BF60C5">
        <w:rPr>
          <w:rFonts w:ascii="Century Gothic" w:hAnsi="Century Gothic"/>
          <w:b/>
          <w:sz w:val="16"/>
          <w:szCs w:val="16"/>
        </w:rPr>
        <w:t>0.</w:t>
      </w:r>
    </w:p>
    <w:p w14:paraId="4BDBF65D" w14:textId="77777777" w:rsidR="00F379A3" w:rsidRPr="00BF60C5" w:rsidRDefault="00F379A3" w:rsidP="00BF60C5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77429B" w:rsidRPr="008C39DC" w14:paraId="30F7A726" w14:textId="77777777" w:rsidTr="002667D3">
        <w:trPr>
          <w:gridAfter w:val="1"/>
          <w:wAfter w:w="11" w:type="dxa"/>
        </w:trPr>
        <w:tc>
          <w:tcPr>
            <w:tcW w:w="2694" w:type="dxa"/>
            <w:gridSpan w:val="2"/>
          </w:tcPr>
          <w:p w14:paraId="20AC51EA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851" w:type="dxa"/>
          </w:tcPr>
          <w:p w14:paraId="0DCF4C9C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64BAC4E7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6C20AFA7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3CFF7C6D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305524A9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4D6C30AD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4A94290D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77429B" w:rsidRPr="008C39DC" w14:paraId="24657B0C" w14:textId="77777777" w:rsidTr="002667D3">
        <w:tc>
          <w:tcPr>
            <w:tcW w:w="568" w:type="dxa"/>
          </w:tcPr>
          <w:p w14:paraId="27D424F6" w14:textId="77777777" w:rsidR="0077429B" w:rsidRPr="008C39DC" w:rsidRDefault="0077429B" w:rsidP="002667D3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126" w:type="dxa"/>
          </w:tcPr>
          <w:p w14:paraId="109AC823" w14:textId="70890BEB" w:rsidR="0077429B" w:rsidRPr="008C39DC" w:rsidRDefault="0077429B" w:rsidP="002667D3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77429B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>Pompy infuzyjne jednostrzykawkowe</w:t>
            </w:r>
          </w:p>
        </w:tc>
        <w:tc>
          <w:tcPr>
            <w:tcW w:w="851" w:type="dxa"/>
          </w:tcPr>
          <w:p w14:paraId="1CFCA73B" w14:textId="7CABD93E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</w:tcPr>
          <w:p w14:paraId="23A844F9" w14:textId="655E9E51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  <w:r>
              <w:rPr>
                <w:rFonts w:eastAsiaTheme="minorEastAsia" w:cstheme="minorHAnsi"/>
                <w:lang w:eastAsia="ja-JP"/>
              </w:rPr>
              <w:t>7</w:t>
            </w:r>
          </w:p>
        </w:tc>
        <w:tc>
          <w:tcPr>
            <w:tcW w:w="1276" w:type="dxa"/>
          </w:tcPr>
          <w:p w14:paraId="096AC353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5FD409D6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648A49E8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28422A17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0D5581E9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559"/>
      </w:tblGrid>
      <w:tr w:rsidR="0077429B" w:rsidRPr="008C39DC" w14:paraId="67A95D97" w14:textId="77777777" w:rsidTr="002667D3">
        <w:tc>
          <w:tcPr>
            <w:tcW w:w="568" w:type="dxa"/>
          </w:tcPr>
          <w:p w14:paraId="016821FA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2126" w:type="dxa"/>
          </w:tcPr>
          <w:p w14:paraId="12EC1AD3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xxxxxxxxxxxx</w:t>
            </w:r>
          </w:p>
        </w:tc>
        <w:tc>
          <w:tcPr>
            <w:tcW w:w="851" w:type="dxa"/>
          </w:tcPr>
          <w:p w14:paraId="06CDC5D2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1F2AB041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43B87279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</w:p>
        </w:tc>
        <w:tc>
          <w:tcPr>
            <w:tcW w:w="1275" w:type="dxa"/>
          </w:tcPr>
          <w:p w14:paraId="160C6307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743FB990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4BBEC817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710F0114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67785779" w14:textId="77777777" w:rsidR="0077429B" w:rsidRPr="008C39DC" w:rsidRDefault="0077429B" w:rsidP="0077429B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0EC0B332" w14:textId="77777777" w:rsidR="0077429B" w:rsidRPr="008C39DC" w:rsidRDefault="0077429B" w:rsidP="0077429B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11A750C5" w14:textId="77777777" w:rsidR="0077429B" w:rsidRPr="008C39DC" w:rsidRDefault="0077429B" w:rsidP="0077429B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5AD2539B" w14:textId="77777777" w:rsidR="0077429B" w:rsidRPr="008C39DC" w:rsidRDefault="0077429B" w:rsidP="0077429B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51DE4A6F" w14:textId="77777777" w:rsidR="0077429B" w:rsidRPr="008C39DC" w:rsidRDefault="0077429B" w:rsidP="0077429B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082EF750" w14:textId="77777777" w:rsidR="0077429B" w:rsidRDefault="0077429B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F1B42CF" w14:textId="77777777" w:rsidR="0077429B" w:rsidRDefault="0077429B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ECD6F29" w14:textId="77777777" w:rsidR="0077429B" w:rsidRDefault="0077429B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0873DBA" w14:textId="53DF0B9D" w:rsidR="00F379A3" w:rsidRPr="00BF60C5" w:rsidRDefault="00F379A3" w:rsidP="0077429B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6F57F0A5" w14:textId="77777777" w:rsidR="00F379A3" w:rsidRPr="00BF60C5" w:rsidRDefault="00F379A3" w:rsidP="0077429B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>1.</w:t>
      </w:r>
      <w:r w:rsidRPr="00BF60C5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BB7CF3F" w14:textId="77777777" w:rsidR="00F379A3" w:rsidRPr="00BF60C5" w:rsidRDefault="00F379A3" w:rsidP="0077429B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>2.</w:t>
      </w:r>
      <w:r w:rsidRPr="00BF60C5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5966D8A" w14:textId="77777777" w:rsidR="00F379A3" w:rsidRPr="00BF60C5" w:rsidRDefault="00F379A3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</w:p>
    <w:p w14:paraId="770D406D" w14:textId="77777777" w:rsidR="0077429B" w:rsidRDefault="00F379A3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</w:p>
    <w:p w14:paraId="50DC4E02" w14:textId="77777777" w:rsidR="0077429B" w:rsidRDefault="0077429B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6F5362E" w14:textId="526D943A" w:rsidR="00F379A3" w:rsidRPr="00BF60C5" w:rsidRDefault="00F379A3" w:rsidP="0077429B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>…………………………….</w:t>
      </w:r>
    </w:p>
    <w:p w14:paraId="5CBF1ED0" w14:textId="5F982303" w:rsidR="00F379A3" w:rsidRPr="00BF60C5" w:rsidRDefault="00F379A3" w:rsidP="000D4FDC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BF60C5">
        <w:rPr>
          <w:rFonts w:ascii="Century Gothic" w:hAnsi="Century Gothic"/>
          <w:sz w:val="16"/>
          <w:szCs w:val="16"/>
        </w:rPr>
        <w:t>y</w:t>
      </w:r>
    </w:p>
    <w:p w14:paraId="2B0DFCC9" w14:textId="77777777" w:rsidR="00F379A3" w:rsidRPr="00BF60C5" w:rsidRDefault="00F379A3" w:rsidP="00BF60C5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379A3" w:rsidRPr="00BF60C5" w:rsidSect="0040276C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3D924" w14:textId="77777777" w:rsidR="00B7515A" w:rsidRDefault="00B7515A" w:rsidP="0040276C">
      <w:pPr>
        <w:spacing w:after="0" w:line="240" w:lineRule="auto"/>
      </w:pPr>
      <w:r>
        <w:separator/>
      </w:r>
    </w:p>
  </w:endnote>
  <w:endnote w:type="continuationSeparator" w:id="0">
    <w:p w14:paraId="2469F94D" w14:textId="77777777" w:rsidR="00B7515A" w:rsidRDefault="00B7515A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66260" w14:textId="77777777" w:rsidR="00B7515A" w:rsidRDefault="00B7515A" w:rsidP="0040276C">
      <w:pPr>
        <w:spacing w:after="0" w:line="240" w:lineRule="auto"/>
      </w:pPr>
      <w:r>
        <w:separator/>
      </w:r>
    </w:p>
  </w:footnote>
  <w:footnote w:type="continuationSeparator" w:id="0">
    <w:p w14:paraId="2A8B1C65" w14:textId="77777777" w:rsidR="00B7515A" w:rsidRDefault="00B7515A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C4682" w14:textId="77777777" w:rsidR="0040276C" w:rsidRDefault="0040276C">
    <w:pPr>
      <w:pStyle w:val="Nagwek"/>
    </w:pPr>
    <w:r w:rsidRPr="00006301">
      <w:rPr>
        <w:noProof/>
      </w:rPr>
      <w:drawing>
        <wp:inline distT="0" distB="0" distL="0" distR="0" wp14:anchorId="6180EFD0" wp14:editId="2A7CE61D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BC4C6630"/>
    <w:lvl w:ilvl="0">
      <w:start w:val="8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22A6B"/>
    <w:multiLevelType w:val="hybridMultilevel"/>
    <w:tmpl w:val="2932BBC8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957844">
    <w:abstractNumId w:val="1"/>
  </w:num>
  <w:num w:numId="2" w16cid:durableId="1832288001">
    <w:abstractNumId w:val="2"/>
  </w:num>
  <w:num w:numId="3" w16cid:durableId="1726642020">
    <w:abstractNumId w:val="0"/>
  </w:num>
  <w:num w:numId="4" w16cid:durableId="18295147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D4FDC"/>
    <w:rsid w:val="00164B45"/>
    <w:rsid w:val="002A3B79"/>
    <w:rsid w:val="0040276C"/>
    <w:rsid w:val="004503E9"/>
    <w:rsid w:val="0047363C"/>
    <w:rsid w:val="00493023"/>
    <w:rsid w:val="004F0818"/>
    <w:rsid w:val="00586E6B"/>
    <w:rsid w:val="005C4144"/>
    <w:rsid w:val="00661320"/>
    <w:rsid w:val="006951BC"/>
    <w:rsid w:val="006D0A78"/>
    <w:rsid w:val="007138AC"/>
    <w:rsid w:val="00730E59"/>
    <w:rsid w:val="0077429B"/>
    <w:rsid w:val="007F0127"/>
    <w:rsid w:val="008814A2"/>
    <w:rsid w:val="009044FF"/>
    <w:rsid w:val="0096548F"/>
    <w:rsid w:val="009D7E2D"/>
    <w:rsid w:val="00A051A2"/>
    <w:rsid w:val="00A337C8"/>
    <w:rsid w:val="00AE6735"/>
    <w:rsid w:val="00B73B54"/>
    <w:rsid w:val="00B7515A"/>
    <w:rsid w:val="00BF60C5"/>
    <w:rsid w:val="00D20944"/>
    <w:rsid w:val="00E067DB"/>
    <w:rsid w:val="00E1479C"/>
    <w:rsid w:val="00E51A08"/>
    <w:rsid w:val="00EE0AAF"/>
    <w:rsid w:val="00F379A3"/>
    <w:rsid w:val="00FE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14DA37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1601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5</cp:revision>
  <dcterms:created xsi:type="dcterms:W3CDTF">2026-02-10T13:20:00Z</dcterms:created>
  <dcterms:modified xsi:type="dcterms:W3CDTF">2026-02-13T11:21:00Z</dcterms:modified>
</cp:coreProperties>
</file>