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A70A1" w14:textId="77777777" w:rsidR="00914AA7" w:rsidRPr="008C39DC" w:rsidRDefault="00914AA7" w:rsidP="00914AA7">
      <w:pPr>
        <w:jc w:val="right"/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</w:pPr>
      <w:r w:rsidRPr="008C39DC">
        <w:rPr>
          <w:rFonts w:ascii="Century Gothic" w:eastAsiaTheme="minorEastAsia" w:hAnsi="Century Gothic"/>
          <w:b/>
          <w:bCs/>
          <w:sz w:val="16"/>
          <w:szCs w:val="16"/>
          <w:lang w:eastAsia="ja-JP"/>
        </w:rPr>
        <w:t xml:space="preserve">załącznik nr 2 do SWZ / załącznik </w:t>
      </w:r>
      <w:r w:rsidRPr="008C39DC">
        <w:rPr>
          <w:rFonts w:ascii="Century Gothic" w:eastAsiaTheme="minorEastAsia" w:hAnsi="Century Gothic"/>
          <w:b/>
          <w:bCs/>
          <w:sz w:val="16"/>
          <w:szCs w:val="16"/>
          <w:u w:val="single"/>
          <w:lang w:eastAsia="ja-JP"/>
        </w:rPr>
        <w:t>nr 2 do umowy</w:t>
      </w:r>
    </w:p>
    <w:p w14:paraId="12A75C28" w14:textId="77777777" w:rsidR="00914AA7" w:rsidRDefault="00914AA7" w:rsidP="009068B0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</w:p>
    <w:p w14:paraId="18A195C5" w14:textId="219600BF" w:rsidR="0040276C" w:rsidRPr="009068B0" w:rsidRDefault="0040276C" w:rsidP="009068B0">
      <w:pPr>
        <w:spacing w:line="360" w:lineRule="auto"/>
        <w:jc w:val="center"/>
        <w:rPr>
          <w:rFonts w:ascii="Century Gothic" w:hAnsi="Century Gothic" w:cstheme="minorHAnsi"/>
          <w:b/>
          <w:bCs/>
          <w:sz w:val="16"/>
          <w:szCs w:val="16"/>
        </w:rPr>
      </w:pPr>
      <w:r w:rsidRPr="009068B0">
        <w:rPr>
          <w:rFonts w:ascii="Century Gothic" w:hAnsi="Century Gothic" w:cstheme="minorHAnsi"/>
          <w:b/>
          <w:bCs/>
          <w:sz w:val="16"/>
          <w:szCs w:val="16"/>
        </w:rPr>
        <w:t>Opis przedmiotu zamówienia</w:t>
      </w:r>
    </w:p>
    <w:p w14:paraId="0CB412E9" w14:textId="77777777" w:rsidR="0040276C" w:rsidRPr="009068B0" w:rsidRDefault="00F379A3" w:rsidP="00914AA7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</w:pPr>
      <w:r w:rsidRPr="009068B0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 xml:space="preserve">Zadanie nr </w:t>
      </w:r>
      <w:r w:rsidR="00AE5383">
        <w:rPr>
          <w:rFonts w:ascii="Century Gothic" w:eastAsia="Times New Roman" w:hAnsi="Century Gothic" w:cs="Arial"/>
          <w:color w:val="000000"/>
          <w:kern w:val="0"/>
          <w:sz w:val="16"/>
          <w:szCs w:val="16"/>
          <w:u w:val="single"/>
          <w:lang w:eastAsia="pl-PL"/>
          <w14:ligatures w14:val="none"/>
        </w:rPr>
        <w:t>3</w:t>
      </w:r>
    </w:p>
    <w:p w14:paraId="73462B44" w14:textId="77777777" w:rsidR="00F379A3" w:rsidRPr="009068B0" w:rsidRDefault="00F379A3" w:rsidP="00914AA7">
      <w:pPr>
        <w:spacing w:after="0" w:line="360" w:lineRule="auto"/>
        <w:ind w:left="-284"/>
        <w:rPr>
          <w:rFonts w:ascii="Century Gothic" w:eastAsia="Times New Roman" w:hAnsi="Century Gothic" w:cs="Arial"/>
          <w:color w:val="000000"/>
          <w:kern w:val="0"/>
          <w:sz w:val="16"/>
          <w:szCs w:val="16"/>
          <w:lang w:eastAsia="pl-PL"/>
          <w14:ligatures w14:val="none"/>
        </w:rPr>
      </w:pPr>
    </w:p>
    <w:p w14:paraId="65F6B980" w14:textId="77777777" w:rsidR="0040276C" w:rsidRPr="009068B0" w:rsidRDefault="009068B0" w:rsidP="00914AA7">
      <w:pPr>
        <w:spacing w:after="0" w:line="360" w:lineRule="auto"/>
        <w:ind w:left="-284"/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</w:pPr>
      <w:r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Pompy infuzyjne dwustrzykawkowe</w:t>
      </w:r>
      <w:r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r w:rsidR="00BF60C5"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– 1</w:t>
      </w:r>
      <w:r w:rsidR="0071478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2</w:t>
      </w:r>
      <w:r w:rsidR="00BF60C5" w:rsidRPr="009068B0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 xml:space="preserve"> </w:t>
      </w:r>
      <w:r w:rsidR="0071478A">
        <w:rPr>
          <w:rFonts w:ascii="Century Gothic" w:eastAsia="Times New Roman" w:hAnsi="Century Gothic" w:cs="Arial"/>
          <w:b/>
          <w:color w:val="000000"/>
          <w:kern w:val="0"/>
          <w:sz w:val="16"/>
          <w:szCs w:val="16"/>
          <w:lang w:eastAsia="pl-PL"/>
          <w14:ligatures w14:val="none"/>
        </w:rPr>
        <w:t>zestawów</w:t>
      </w:r>
    </w:p>
    <w:tbl>
      <w:tblPr>
        <w:tblStyle w:val="Tabela-Siatka"/>
        <w:tblW w:w="9923" w:type="dxa"/>
        <w:tblInd w:w="-289" w:type="dxa"/>
        <w:tblLook w:val="04A0" w:firstRow="1" w:lastRow="0" w:firstColumn="1" w:lastColumn="0" w:noHBand="0" w:noVBand="1"/>
      </w:tblPr>
      <w:tblGrid>
        <w:gridCol w:w="779"/>
        <w:gridCol w:w="72"/>
        <w:gridCol w:w="4395"/>
        <w:gridCol w:w="2551"/>
        <w:gridCol w:w="2126"/>
      </w:tblGrid>
      <w:tr w:rsidR="0040276C" w:rsidRPr="009068B0" w14:paraId="3A6BD19C" w14:textId="77777777" w:rsidTr="00D75BBF">
        <w:trPr>
          <w:trHeight w:val="844"/>
        </w:trPr>
        <w:tc>
          <w:tcPr>
            <w:tcW w:w="779" w:type="dxa"/>
            <w:noWrap/>
            <w:vAlign w:val="center"/>
            <w:hideMark/>
          </w:tcPr>
          <w:p w14:paraId="75F664B8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LP</w:t>
            </w:r>
          </w:p>
        </w:tc>
        <w:tc>
          <w:tcPr>
            <w:tcW w:w="4467" w:type="dxa"/>
            <w:gridSpan w:val="2"/>
            <w:vAlign w:val="center"/>
            <w:hideMark/>
          </w:tcPr>
          <w:p w14:paraId="0882DE82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Wymagania Zamawiającego (warunek)</w:t>
            </w:r>
          </w:p>
        </w:tc>
        <w:tc>
          <w:tcPr>
            <w:tcW w:w="2551" w:type="dxa"/>
            <w:vAlign w:val="center"/>
            <w:hideMark/>
          </w:tcPr>
          <w:p w14:paraId="1F9ED7DA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Parametr wymagany</w:t>
            </w:r>
          </w:p>
        </w:tc>
        <w:tc>
          <w:tcPr>
            <w:tcW w:w="2126" w:type="dxa"/>
            <w:vAlign w:val="center"/>
            <w:hideMark/>
          </w:tcPr>
          <w:p w14:paraId="2BCB89A2" w14:textId="77777777" w:rsidR="0040276C" w:rsidRPr="009068B0" w:rsidRDefault="0040276C" w:rsidP="009068B0">
            <w:pPr>
              <w:spacing w:line="360" w:lineRule="auto"/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Parametr oferowany/podać</w:t>
            </w:r>
          </w:p>
        </w:tc>
      </w:tr>
      <w:tr w:rsidR="0040276C" w:rsidRPr="009068B0" w14:paraId="3F77B726" w14:textId="77777777" w:rsidTr="00D75BBF">
        <w:trPr>
          <w:trHeight w:val="372"/>
        </w:trPr>
        <w:tc>
          <w:tcPr>
            <w:tcW w:w="9923" w:type="dxa"/>
            <w:gridSpan w:val="5"/>
            <w:noWrap/>
            <w:vAlign w:val="center"/>
            <w:hideMark/>
          </w:tcPr>
          <w:p w14:paraId="55552BA2" w14:textId="77777777" w:rsidR="0040276C" w:rsidRPr="009068B0" w:rsidRDefault="0040276C" w:rsidP="009068B0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9068B0">
              <w:rPr>
                <w:rFonts w:ascii="Century Gothic" w:hAnsi="Century Gothic"/>
                <w:b/>
                <w:bCs/>
                <w:sz w:val="16"/>
                <w:szCs w:val="16"/>
              </w:rPr>
              <w:t>Skład zestawu:</w:t>
            </w:r>
          </w:p>
        </w:tc>
      </w:tr>
      <w:tr w:rsidR="00F379A3" w:rsidRPr="009068B0" w14:paraId="7C0BE65E" w14:textId="77777777" w:rsidTr="00D75BBF">
        <w:trPr>
          <w:trHeight w:val="203"/>
        </w:trPr>
        <w:tc>
          <w:tcPr>
            <w:tcW w:w="851" w:type="dxa"/>
            <w:gridSpan w:val="2"/>
            <w:noWrap/>
            <w:vAlign w:val="center"/>
          </w:tcPr>
          <w:p w14:paraId="6EBA09B7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213944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551" w:type="dxa"/>
            <w:noWrap/>
            <w:vAlign w:val="center"/>
          </w:tcPr>
          <w:p w14:paraId="742D8B0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123AFD16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765A0529" w14:textId="77777777" w:rsidTr="00D75BBF">
        <w:trPr>
          <w:trHeight w:val="406"/>
        </w:trPr>
        <w:tc>
          <w:tcPr>
            <w:tcW w:w="851" w:type="dxa"/>
            <w:gridSpan w:val="2"/>
            <w:noWrap/>
            <w:vAlign w:val="center"/>
          </w:tcPr>
          <w:p w14:paraId="6F9198E2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FA3164E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Model/Typ (pełna symbolika)</w:t>
            </w:r>
          </w:p>
        </w:tc>
        <w:tc>
          <w:tcPr>
            <w:tcW w:w="2551" w:type="dxa"/>
            <w:noWrap/>
            <w:vAlign w:val="center"/>
          </w:tcPr>
          <w:p w14:paraId="6E9B8015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5E8D85FC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1246D8AA" w14:textId="77777777" w:rsidTr="00D75BBF">
        <w:trPr>
          <w:trHeight w:val="70"/>
        </w:trPr>
        <w:tc>
          <w:tcPr>
            <w:tcW w:w="851" w:type="dxa"/>
            <w:gridSpan w:val="2"/>
            <w:noWrap/>
            <w:vAlign w:val="center"/>
          </w:tcPr>
          <w:p w14:paraId="7684F652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65EA8E8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Kraj pochodzenia</w:t>
            </w:r>
          </w:p>
        </w:tc>
        <w:tc>
          <w:tcPr>
            <w:tcW w:w="2551" w:type="dxa"/>
            <w:noWrap/>
            <w:vAlign w:val="center"/>
          </w:tcPr>
          <w:p w14:paraId="726A38F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7019365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34C971E2" w14:textId="77777777" w:rsidTr="00D75BBF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42F2ADA0" w14:textId="77777777" w:rsidR="00F379A3" w:rsidRPr="009068B0" w:rsidRDefault="00F379A3" w:rsidP="009068B0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2FBB1F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Rok produkcji (nie wcześniej 2025 r., sprzęt fabrycznie  nowy) nie rekondycjonowany, nie powystawowy</w:t>
            </w:r>
          </w:p>
        </w:tc>
        <w:tc>
          <w:tcPr>
            <w:tcW w:w="2551" w:type="dxa"/>
            <w:noWrap/>
            <w:vAlign w:val="center"/>
          </w:tcPr>
          <w:p w14:paraId="3CE7E8B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</w:tcPr>
          <w:p w14:paraId="27D86C8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068B0" w:rsidRPr="009068B0" w14:paraId="5051BE15" w14:textId="77777777" w:rsidTr="00D75BBF">
        <w:trPr>
          <w:trHeight w:val="256"/>
        </w:trPr>
        <w:tc>
          <w:tcPr>
            <w:tcW w:w="851" w:type="dxa"/>
            <w:gridSpan w:val="2"/>
            <w:noWrap/>
            <w:vAlign w:val="center"/>
          </w:tcPr>
          <w:p w14:paraId="2F22ACF7" w14:textId="77777777" w:rsidR="009068B0" w:rsidRPr="009068B0" w:rsidRDefault="009068B0" w:rsidP="009068B0">
            <w:pPr>
              <w:spacing w:line="360" w:lineRule="auto"/>
              <w:ind w:left="36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vAlign w:val="center"/>
          </w:tcPr>
          <w:p w14:paraId="60524C9B" w14:textId="77777777" w:rsidR="009068B0" w:rsidRPr="009068B0" w:rsidRDefault="009068B0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sz w:val="16"/>
                <w:szCs w:val="16"/>
              </w:rPr>
              <w:t>Skład jednego zestawu</w:t>
            </w:r>
          </w:p>
        </w:tc>
      </w:tr>
      <w:tr w:rsidR="009068B0" w:rsidRPr="009068B0" w14:paraId="1EC1D68C" w14:textId="77777777" w:rsidTr="00BE77C6">
        <w:trPr>
          <w:trHeight w:val="1200"/>
        </w:trPr>
        <w:tc>
          <w:tcPr>
            <w:tcW w:w="851" w:type="dxa"/>
            <w:gridSpan w:val="2"/>
            <w:noWrap/>
            <w:vAlign w:val="center"/>
          </w:tcPr>
          <w:p w14:paraId="6AF61B6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E86D85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strzykawkowa sterowana elektronicznie przeznaczona do stosowania u dorosłych, dzieci oraz noworodków w celu okresowego lub ciągłego podawania pozajelitowych i dojelitowych płynów klinicznie akceptowanymi drogami podania. Należą do nich droga dożylna, dotętnicowa, podskórna, zewnątrzoponowa i dojelitowa-</w:t>
            </w:r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2 szt</w:t>
            </w:r>
          </w:p>
        </w:tc>
        <w:tc>
          <w:tcPr>
            <w:tcW w:w="2551" w:type="dxa"/>
            <w:noWrap/>
            <w:vAlign w:val="center"/>
            <w:hideMark/>
          </w:tcPr>
          <w:p w14:paraId="1627A222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83C24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5BB4A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D5072C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25025C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Napięcie 11-16 V DC, możliwość zasilania przy użyciu zasilacza zewnętrznego </w:t>
            </w:r>
            <w:r w:rsidRPr="00BE77C6">
              <w:rPr>
                <w:rFonts w:ascii="Century Gothic" w:eastAsia="Times New Roman" w:hAnsi="Century Gothic" w:cs="Times New Roman"/>
                <w:b/>
                <w:kern w:val="0"/>
                <w:sz w:val="16"/>
                <w:szCs w:val="16"/>
                <w:lang w:eastAsia="pl-PL"/>
                <w14:ligatures w14:val="none"/>
              </w:rPr>
              <w:t>2 szt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</w:tc>
        <w:tc>
          <w:tcPr>
            <w:tcW w:w="2551" w:type="dxa"/>
            <w:noWrap/>
            <w:vAlign w:val="center"/>
            <w:hideMark/>
          </w:tcPr>
          <w:p w14:paraId="37C6ACF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E77AB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8C4BB60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B2DE29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A5A09E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Dokładność mechaniczna &lt;&lt;±0,5%</w:t>
            </w:r>
          </w:p>
        </w:tc>
        <w:tc>
          <w:tcPr>
            <w:tcW w:w="2551" w:type="dxa"/>
            <w:noWrap/>
            <w:vAlign w:val="center"/>
            <w:hideMark/>
          </w:tcPr>
          <w:p w14:paraId="6B3BB1D8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22A94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0097527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54F65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C7C393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Strzykawka mocowana od przodu  </w:t>
            </w:r>
          </w:p>
        </w:tc>
        <w:tc>
          <w:tcPr>
            <w:tcW w:w="2551" w:type="dxa"/>
            <w:noWrap/>
            <w:vAlign w:val="center"/>
            <w:hideMark/>
          </w:tcPr>
          <w:p w14:paraId="64AC788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799BD8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39ABC3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5E05C7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B473DE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Automatyczny napęd strzykawki</w:t>
            </w:r>
          </w:p>
        </w:tc>
        <w:tc>
          <w:tcPr>
            <w:tcW w:w="2551" w:type="dxa"/>
            <w:noWrap/>
            <w:vAlign w:val="center"/>
            <w:hideMark/>
          </w:tcPr>
          <w:p w14:paraId="771DD0F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DE70AE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3D2E2D9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32E0C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E5C32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Zabezpieczenie przed swobodnym przepływem, niezależnie od położenia głowicy napędowej</w:t>
            </w:r>
          </w:p>
        </w:tc>
        <w:tc>
          <w:tcPr>
            <w:tcW w:w="2551" w:type="dxa"/>
            <w:noWrap/>
            <w:vAlign w:val="center"/>
            <w:hideMark/>
          </w:tcPr>
          <w:p w14:paraId="7D7C83FC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CE04C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9BB09A2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3C555AE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18E038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Pompa skalibrowana do pracy ze strzykawkami o objętości 2/3, 5, 10, 20 i 50/60 ml różnych typów oraz różnych producentów  </w:t>
            </w:r>
          </w:p>
        </w:tc>
        <w:tc>
          <w:tcPr>
            <w:tcW w:w="2551" w:type="dxa"/>
            <w:noWrap/>
            <w:vAlign w:val="center"/>
            <w:hideMark/>
          </w:tcPr>
          <w:p w14:paraId="3029115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28A967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40847E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76D3A6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46593B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pompy max.1,5 kg</w:t>
            </w:r>
          </w:p>
        </w:tc>
        <w:tc>
          <w:tcPr>
            <w:tcW w:w="2551" w:type="dxa"/>
            <w:noWrap/>
            <w:vAlign w:val="center"/>
            <w:hideMark/>
          </w:tcPr>
          <w:p w14:paraId="27E0FD0C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7D586AD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Masa &lt; 1,5 kg = 5 pkt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= 1,5 kg = 0 pkt</w:t>
            </w:r>
          </w:p>
        </w:tc>
      </w:tr>
      <w:tr w:rsidR="009068B0" w:rsidRPr="009068B0" w14:paraId="3FA240AF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CBC06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43FCD2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Wymiary max. 250 x 70 x 160 mm (szer. x wys. x gł.)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Pompa zajmujaca przestrzeń nie większą niż 3 000 cm3</w:t>
            </w:r>
          </w:p>
        </w:tc>
        <w:tc>
          <w:tcPr>
            <w:tcW w:w="2551" w:type="dxa"/>
            <w:noWrap/>
            <w:vAlign w:val="center"/>
            <w:hideMark/>
          </w:tcPr>
          <w:p w14:paraId="3EAD204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2BB89C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E829C53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E9850C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4603FB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Klawiatura nawigacyjna do wprowadzania parametrów i obsługi pompy</w:t>
            </w:r>
          </w:p>
        </w:tc>
        <w:tc>
          <w:tcPr>
            <w:tcW w:w="2551" w:type="dxa"/>
            <w:noWrap/>
            <w:vAlign w:val="center"/>
            <w:hideMark/>
          </w:tcPr>
          <w:p w14:paraId="3B78D2E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540B59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8070AC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3B3E06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6B5083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Odłączalny uchwyt do przenoszenia zestaw 2 i 3 pomp zasilanych jednym przewodem 1 szt</w:t>
            </w:r>
            <w:r w:rsidR="00BE77C6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</w:p>
        </w:tc>
        <w:tc>
          <w:tcPr>
            <w:tcW w:w="2551" w:type="dxa"/>
            <w:noWrap/>
            <w:vAlign w:val="center"/>
            <w:hideMark/>
          </w:tcPr>
          <w:p w14:paraId="3A0816CB" w14:textId="77777777" w:rsidR="009068B0" w:rsidRPr="009068B0" w:rsidRDefault="00D43B6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35F3F2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E3038C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135F41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DE2419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podłączenia odłączalnego uchwytu do przenoszenia i mocowania pompy do rur i szyn medycznych pionowych i poziomych </w:t>
            </w:r>
          </w:p>
        </w:tc>
        <w:tc>
          <w:tcPr>
            <w:tcW w:w="2551" w:type="dxa"/>
            <w:noWrap/>
            <w:vAlign w:val="center"/>
            <w:hideMark/>
          </w:tcPr>
          <w:p w14:paraId="5BFA336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892436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545DC7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AFF283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9B7DFB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łączenia 2 i 3 pomp w moduły bez użycia stacji dokującej. </w:t>
            </w:r>
          </w:p>
        </w:tc>
        <w:tc>
          <w:tcPr>
            <w:tcW w:w="2551" w:type="dxa"/>
            <w:noWrap/>
            <w:vAlign w:val="center"/>
            <w:hideMark/>
          </w:tcPr>
          <w:p w14:paraId="7E0D44D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E17E1F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2F77621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427792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295EADC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Podświetlany ekran i przyciski z </w:t>
            </w:r>
            <w:r w:rsidR="007221F2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możliwością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regulacji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303E379D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5DE846F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9EC961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A7BA84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4F29E6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głośności w zakresie od 59dBA do 74dBA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7AB3B89F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5BBE987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FD09E1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447411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C99849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Regulacja jasności i kontrastu ekranu na </w:t>
            </w:r>
            <w:r w:rsidR="00D75BBF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9 poziomach</w:t>
            </w:r>
          </w:p>
        </w:tc>
        <w:tc>
          <w:tcPr>
            <w:tcW w:w="2551" w:type="dxa"/>
            <w:noWrap/>
            <w:vAlign w:val="center"/>
            <w:hideMark/>
          </w:tcPr>
          <w:p w14:paraId="2880A89E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noWrap/>
            <w:vAlign w:val="center"/>
            <w:hideMark/>
          </w:tcPr>
          <w:p w14:paraId="6AD1705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23D20B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14EA1F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0A85C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Zasilanie z akumulatora wewnętrznego min 16 h. przy przepływie 5 ml/h.</w:t>
            </w:r>
          </w:p>
        </w:tc>
        <w:tc>
          <w:tcPr>
            <w:tcW w:w="2551" w:type="dxa"/>
            <w:noWrap/>
            <w:vAlign w:val="center"/>
            <w:hideMark/>
          </w:tcPr>
          <w:p w14:paraId="15E0E221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6F4FC4C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Czas pracy   &gt;16h = 5 pkt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Czas pracy ≤ 16h - 0 pkt</w:t>
            </w:r>
          </w:p>
        </w:tc>
      </w:tr>
      <w:tr w:rsidR="009068B0" w:rsidRPr="009068B0" w14:paraId="4C628D3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E1D1A9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D930F3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wymiany akumulatora przez użytkownika bez użycia narzędzi.</w:t>
            </w:r>
          </w:p>
        </w:tc>
        <w:tc>
          <w:tcPr>
            <w:tcW w:w="2551" w:type="dxa"/>
            <w:noWrap/>
            <w:vAlign w:val="center"/>
            <w:hideMark/>
          </w:tcPr>
          <w:p w14:paraId="2DBAA4F1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C5678B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BF0B5CA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BCFD3B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EF8F1E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programowania parametrów infuzji w mg, mcg, U lub mmol,   z uwzględnieniem lub nie masy ciała w odniesieniu do czasu ( np. mg/kg/min; mg/kg/h; mg/kg/24h) </w:t>
            </w:r>
          </w:p>
        </w:tc>
        <w:tc>
          <w:tcPr>
            <w:tcW w:w="2551" w:type="dxa"/>
            <w:noWrap/>
            <w:vAlign w:val="center"/>
            <w:hideMark/>
          </w:tcPr>
          <w:p w14:paraId="5F66465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1A5AD2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B29181E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C7AF3B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3E41AD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Zakres prędkości infuzji podstawowej min. 0,1 do 999,9 ml/h  Prędkość infuzji w zakresie od 0,1 - 99,99ml/h programowana co 0,01ml/godz. </w:t>
            </w:r>
          </w:p>
        </w:tc>
        <w:tc>
          <w:tcPr>
            <w:tcW w:w="2551" w:type="dxa"/>
            <w:noWrap/>
            <w:vAlign w:val="center"/>
            <w:hideMark/>
          </w:tcPr>
          <w:p w14:paraId="10E61A1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8303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6A73285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28F049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3B04948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Prędkości  bolusa min:</w:t>
            </w:r>
          </w:p>
        </w:tc>
        <w:tc>
          <w:tcPr>
            <w:tcW w:w="2551" w:type="dxa"/>
            <w:noWrap/>
            <w:vAlign w:val="center"/>
            <w:hideMark/>
          </w:tcPr>
          <w:p w14:paraId="5CF837F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888D7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393C35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749E59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08F8CFEF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poj.3ml =1-150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C4DB8A6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CB1945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8C46C19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6BA9BC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FF61433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poj.5ml =1-300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E71E7A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2D1E17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557733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273E64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23572C68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poj.10ml =1-500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624F651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AE66FB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0D64E24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6EC4C1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422EF367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poj.20ml =1-800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1E3C9E5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6936D5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7EF5E5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880830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652ECBF3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poj.30ml =1-1200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4F531C8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279DBB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C77ADC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1503EFE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53181E4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dla strzykawki o poj.50/60ml =1-1800 ml/h</w:t>
            </w:r>
          </w:p>
        </w:tc>
        <w:tc>
          <w:tcPr>
            <w:tcW w:w="2551" w:type="dxa"/>
            <w:noWrap/>
            <w:vAlign w:val="center"/>
            <w:hideMark/>
          </w:tcPr>
          <w:p w14:paraId="5F4E790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0872A8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AA087B3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65357C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65A6F7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utworzenia Bazy Leków używanych w infuzjoterapii na terenie szpitala  z możliwością zastosowania oprogramowania do tworzenia Bibliotek Leków na poszczególne oddziały.</w:t>
            </w:r>
          </w:p>
        </w:tc>
        <w:tc>
          <w:tcPr>
            <w:tcW w:w="2551" w:type="dxa"/>
            <w:noWrap/>
            <w:vAlign w:val="center"/>
            <w:hideMark/>
          </w:tcPr>
          <w:p w14:paraId="6673E93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7C70F3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77C7CC0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B82D77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919AD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skonfigurowania do min. 50 oddziałów w jednej pompie.</w:t>
            </w:r>
          </w:p>
        </w:tc>
        <w:tc>
          <w:tcPr>
            <w:tcW w:w="2551" w:type="dxa"/>
            <w:noWrap/>
            <w:vAlign w:val="center"/>
            <w:hideMark/>
          </w:tcPr>
          <w:p w14:paraId="1DED3DF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16FC24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32DF94F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DCAA79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28D386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Biblioteka Leków zawierająca min.1 000  leków z możliwością podzielenia na min. 30 grup.  </w:t>
            </w:r>
          </w:p>
        </w:tc>
        <w:tc>
          <w:tcPr>
            <w:tcW w:w="2551" w:type="dxa"/>
            <w:noWrap/>
            <w:vAlign w:val="center"/>
            <w:hideMark/>
          </w:tcPr>
          <w:p w14:paraId="4EB8D54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DBD2A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E411D22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5C229F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4D0892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Biblioteka leków zawierająca po 10 stężeń dla każdego leku.</w:t>
            </w:r>
          </w:p>
        </w:tc>
        <w:tc>
          <w:tcPr>
            <w:tcW w:w="2551" w:type="dxa"/>
            <w:noWrap/>
            <w:vAlign w:val="center"/>
            <w:hideMark/>
          </w:tcPr>
          <w:p w14:paraId="1F2B4FC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BA0434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64AB943" w14:textId="77777777" w:rsidTr="00BE77C6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1307793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0C31BD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Leki zawarte w Bibliotece Leków powiązane z parametrami infuzji (limity względne min-max;limity bezwzględne min-max, parametry standardowe), możliwość wyświetlania naprzemiennego nazwy leku i/lub wybranych parametrów infuzji. </w:t>
            </w:r>
          </w:p>
        </w:tc>
        <w:tc>
          <w:tcPr>
            <w:tcW w:w="2551" w:type="dxa"/>
            <w:noWrap/>
            <w:vAlign w:val="center"/>
            <w:hideMark/>
          </w:tcPr>
          <w:p w14:paraId="780FB230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D33C64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F3F550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BB1F18B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48C2FC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infuzji przy stopniowym wzroście i spadku prędkości. Infuzja składa się z trzech faz: wzrostu, utrzymania i spadku.</w:t>
            </w:r>
          </w:p>
        </w:tc>
        <w:tc>
          <w:tcPr>
            <w:tcW w:w="2551" w:type="dxa"/>
            <w:noWrap/>
            <w:vAlign w:val="center"/>
            <w:hideMark/>
          </w:tcPr>
          <w:p w14:paraId="111277D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8BEE3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0E322B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BAECB1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BB1CC1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Automatyczne prowadzenie infuzji w trybie okresowym,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składającym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się z dwóch faz: bolusa i prędkości.</w:t>
            </w:r>
          </w:p>
        </w:tc>
        <w:tc>
          <w:tcPr>
            <w:tcW w:w="2551" w:type="dxa"/>
            <w:noWrap/>
            <w:vAlign w:val="center"/>
            <w:hideMark/>
          </w:tcPr>
          <w:p w14:paraId="5EEFFBCD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79BD91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4F47A6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4B8840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5ADD29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prowadzenie terapii dawka w czasie. Po wprowadzeniu parametrów dawki i czasu pompa automatycznie obliczy prędkość infuzji.</w:t>
            </w:r>
          </w:p>
        </w:tc>
        <w:tc>
          <w:tcPr>
            <w:tcW w:w="2551" w:type="dxa"/>
            <w:noWrap/>
            <w:vAlign w:val="center"/>
            <w:hideMark/>
          </w:tcPr>
          <w:p w14:paraId="3874C0B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12593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18824B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2098854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2BFEB7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Automatyczne przejmowanie infuzji przez kolejną pompę natychmiast po zakończeniu infuzji w poprzedniej  dla pomp pracujących w stacji dokującej</w:t>
            </w:r>
          </w:p>
        </w:tc>
        <w:tc>
          <w:tcPr>
            <w:tcW w:w="2551" w:type="dxa"/>
            <w:noWrap/>
            <w:vAlign w:val="center"/>
            <w:hideMark/>
          </w:tcPr>
          <w:p w14:paraId="47B8EBE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C3ED54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99E9E1B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EF61F61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31EB95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Podjęcie infuzji przez  pompę przejmującą bez konieczności naciskania przycisku START ani jakiegokolwiek innego. </w:t>
            </w:r>
          </w:p>
        </w:tc>
        <w:tc>
          <w:tcPr>
            <w:tcW w:w="2551" w:type="dxa"/>
            <w:noWrap/>
            <w:vAlign w:val="center"/>
            <w:hideMark/>
          </w:tcPr>
          <w:p w14:paraId="5CB8DDB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1E047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EAE88D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52426D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6F390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Przekazywanie parametrów infuzji pomiędzy pompami następuje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78FA67E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970926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6A8D46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78C5464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325C9E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Pompy podczas pracy w trybie przejęcia są czytelnie opisane symbolami jednoznacznie wskazującymi która pompa prowadzi infuzję a która oczekuje na podjęcie pracy</w:t>
            </w:r>
          </w:p>
        </w:tc>
        <w:tc>
          <w:tcPr>
            <w:tcW w:w="2551" w:type="dxa"/>
            <w:noWrap/>
            <w:vAlign w:val="center"/>
            <w:hideMark/>
          </w:tcPr>
          <w:p w14:paraId="1BBFF1CC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DABE62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8CA614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05E9981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D7D4D7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Programowanie pracy w trybie przejęcie odbywa się z pozycji klawiatury pompy, wykluczając ryzyko pomyłki zaprogramowania niewłaściwej pompy.</w:t>
            </w:r>
          </w:p>
        </w:tc>
        <w:tc>
          <w:tcPr>
            <w:tcW w:w="2551" w:type="dxa"/>
            <w:noWrap/>
            <w:vAlign w:val="center"/>
            <w:hideMark/>
          </w:tcPr>
          <w:p w14:paraId="7B112877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C4A487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1A5D9A3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702EA8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5EB77E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rozszerzenia  oprogramowania o tryb  TCI  (ang. Target Controlled Infusion) </w:t>
            </w:r>
          </w:p>
        </w:tc>
        <w:tc>
          <w:tcPr>
            <w:tcW w:w="2551" w:type="dxa"/>
            <w:noWrap/>
            <w:vAlign w:val="center"/>
            <w:hideMark/>
          </w:tcPr>
          <w:p w14:paraId="75630046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720E823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4D0D8DD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29B067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0543C0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zastosowania Propofolu różnych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producentów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 w stężeniu 0,5%, 1% i 2%. </w:t>
            </w:r>
          </w:p>
        </w:tc>
        <w:tc>
          <w:tcPr>
            <w:tcW w:w="2551" w:type="dxa"/>
            <w:noWrap/>
            <w:vAlign w:val="center"/>
            <w:hideMark/>
          </w:tcPr>
          <w:p w14:paraId="4A8EC95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2CF7D7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2574E9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C07F0EA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77B1F92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Protokół podawania Propofolu, model Marsch oraz Schnider (do wyboru)</w:t>
            </w:r>
          </w:p>
        </w:tc>
        <w:tc>
          <w:tcPr>
            <w:tcW w:w="2551" w:type="dxa"/>
            <w:noWrap/>
            <w:vAlign w:val="center"/>
            <w:hideMark/>
          </w:tcPr>
          <w:p w14:paraId="01AF42B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9EB37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6027E0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A6F0BCF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125084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zastosowania Remifentanylu różnych producentów w stężeniu 2% i 5%.</w:t>
            </w:r>
          </w:p>
        </w:tc>
        <w:tc>
          <w:tcPr>
            <w:tcW w:w="2551" w:type="dxa"/>
            <w:noWrap/>
            <w:vAlign w:val="center"/>
            <w:hideMark/>
          </w:tcPr>
          <w:p w14:paraId="54BC2E70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24E6EE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0C6CB9D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8AA672E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4C451AD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zastosowania Sufentanylu różnych producentów w stężeniu 0,5% i 5%</w:t>
            </w:r>
          </w:p>
        </w:tc>
        <w:tc>
          <w:tcPr>
            <w:tcW w:w="2551" w:type="dxa"/>
            <w:noWrap/>
            <w:vAlign w:val="center"/>
            <w:hideMark/>
          </w:tcPr>
          <w:p w14:paraId="1224713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B19330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E7DEDB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57E117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071BEE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podania dodatkowego bolusa w trakcie trwania terapii TCI . </w:t>
            </w:r>
          </w:p>
        </w:tc>
        <w:tc>
          <w:tcPr>
            <w:tcW w:w="2551" w:type="dxa"/>
            <w:noWrap/>
            <w:vAlign w:val="center"/>
            <w:hideMark/>
          </w:tcPr>
          <w:p w14:paraId="06B488B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6EEB40B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16789C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015C95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EDA077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prowadzenia znieczulenia zewnątrzoponowego </w:t>
            </w:r>
          </w:p>
        </w:tc>
        <w:tc>
          <w:tcPr>
            <w:tcW w:w="2551" w:type="dxa"/>
            <w:noWrap/>
            <w:vAlign w:val="center"/>
            <w:hideMark/>
          </w:tcPr>
          <w:p w14:paraId="4D5D398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C75771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513C46C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4C1D3C88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8A811D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trybu PCA lub zastosowania przycisku pacjenta będącego na wyposażeniu</w:t>
            </w:r>
          </w:p>
        </w:tc>
        <w:tc>
          <w:tcPr>
            <w:tcW w:w="2551" w:type="dxa"/>
            <w:noWrap/>
            <w:vAlign w:val="center"/>
            <w:hideMark/>
          </w:tcPr>
          <w:p w14:paraId="02C01B5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EE512E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655269B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2634829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5D4406F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Zakres ciśnienia okluzji od 75 mmHg do 900mmHg, z wyborem na 9 poziomach.</w:t>
            </w:r>
          </w:p>
        </w:tc>
        <w:tc>
          <w:tcPr>
            <w:tcW w:w="2551" w:type="dxa"/>
            <w:noWrap/>
            <w:vAlign w:val="center"/>
            <w:hideMark/>
          </w:tcPr>
          <w:p w14:paraId="1AB8BFC3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CA162B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6F18FF2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5BB6C227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D4334B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rozszerzenia zakresu ciśnienia okluzji o trzy dodatkowe poziomy 10 mmHg, 30 mmHg, 50 mmHg</w:t>
            </w:r>
          </w:p>
        </w:tc>
        <w:tc>
          <w:tcPr>
            <w:tcW w:w="2551" w:type="dxa"/>
            <w:noWrap/>
            <w:vAlign w:val="center"/>
            <w:hideMark/>
          </w:tcPr>
          <w:p w14:paraId="66498B6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E758FC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A819270" w14:textId="77777777" w:rsidTr="00BE77C6">
        <w:trPr>
          <w:trHeight w:val="900"/>
        </w:trPr>
        <w:tc>
          <w:tcPr>
            <w:tcW w:w="851" w:type="dxa"/>
            <w:gridSpan w:val="2"/>
            <w:noWrap/>
            <w:vAlign w:val="center"/>
          </w:tcPr>
          <w:p w14:paraId="2D01A12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28F7C1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opcjonalnego rozszerzenia oprogramowania o czujnik skoku/spadku ciśnienia w linii - (okluzji i  rozłączenia linii) bez konieczności stosowania specjalnych drenów. Dokładność czujnika skoku/spadku ciśnienia w linii możliwa do ustawienia na trzech poziomach 2mmHg, 8mmHg, 20mmHg</w:t>
            </w:r>
          </w:p>
        </w:tc>
        <w:tc>
          <w:tcPr>
            <w:tcW w:w="2551" w:type="dxa"/>
            <w:noWrap/>
            <w:vAlign w:val="center"/>
            <w:hideMark/>
          </w:tcPr>
          <w:p w14:paraId="4597E63B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F682C8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5846F78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27DB802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AD0D54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Prezentacja ciągłego pomiaru ciśnienia w linii w formie graficznej.  </w:t>
            </w:r>
          </w:p>
        </w:tc>
        <w:tc>
          <w:tcPr>
            <w:tcW w:w="2551" w:type="dxa"/>
            <w:noWrap/>
            <w:vAlign w:val="center"/>
            <w:hideMark/>
          </w:tcPr>
          <w:p w14:paraId="2892CE9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30C9A3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495E128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34B5196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29B35F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objętości do podania (VTBD) 0,1- 9999 ml</w:t>
            </w:r>
          </w:p>
        </w:tc>
        <w:tc>
          <w:tcPr>
            <w:tcW w:w="2551" w:type="dxa"/>
            <w:noWrap/>
            <w:vAlign w:val="center"/>
            <w:hideMark/>
          </w:tcPr>
          <w:p w14:paraId="37731B01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55DFC503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1A066F52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4EB5F9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54BE4C0A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programowania czasu infuzji przynajmniej od 1min – 99:59 godzin</w:t>
            </w:r>
          </w:p>
        </w:tc>
        <w:tc>
          <w:tcPr>
            <w:tcW w:w="2551" w:type="dxa"/>
            <w:noWrap/>
            <w:vAlign w:val="center"/>
            <w:hideMark/>
          </w:tcPr>
          <w:p w14:paraId="2377F9F8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4CBD6CDE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CB42EB7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03E95B2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A59DFA0" w14:textId="77777777" w:rsidR="009068B0" w:rsidRPr="009068B0" w:rsidRDefault="009068B0" w:rsidP="009068B0">
            <w:pPr>
              <w:spacing w:line="360" w:lineRule="auto"/>
              <w:jc w:val="both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Funkcja stand-by programowana w zakresie 1 min - 23:59 godz.</w:t>
            </w:r>
          </w:p>
        </w:tc>
        <w:tc>
          <w:tcPr>
            <w:tcW w:w="2551" w:type="dxa"/>
            <w:noWrap/>
            <w:vAlign w:val="center"/>
            <w:hideMark/>
          </w:tcPr>
          <w:p w14:paraId="54E4C06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6B65A5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B6A0704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27711965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38E7F55C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Pompa przygotowana do rozbudowy o moduł do bezprzewodowej komunikacji pomp z komputerem poza stacją dokującą .</w:t>
            </w:r>
          </w:p>
        </w:tc>
        <w:tc>
          <w:tcPr>
            <w:tcW w:w="2551" w:type="dxa"/>
            <w:noWrap/>
            <w:vAlign w:val="center"/>
            <w:hideMark/>
          </w:tcPr>
          <w:p w14:paraId="35BC90B5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E0831C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2B2BDAE8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D9C03FC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1551CB18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W przypadku niewłaściwej dawki 0.1 ml spowodowanej niepoprawnym działaniem urządzenia, pompa wyłączy się automatycznie.</w:t>
            </w:r>
          </w:p>
        </w:tc>
        <w:tc>
          <w:tcPr>
            <w:tcW w:w="2551" w:type="dxa"/>
            <w:noWrap/>
            <w:vAlign w:val="center"/>
            <w:hideMark/>
          </w:tcPr>
          <w:p w14:paraId="7DE9049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F625A3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7D8F5266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4C79B18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9D3BB2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Alarmy niezbędne do bezpiecznego prowadzenia terapii.</w:t>
            </w:r>
          </w:p>
        </w:tc>
        <w:tc>
          <w:tcPr>
            <w:tcW w:w="2551" w:type="dxa"/>
            <w:noWrap/>
            <w:vAlign w:val="center"/>
            <w:hideMark/>
          </w:tcPr>
          <w:p w14:paraId="720814D2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3B13B18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433E6CC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7E590DA2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396D065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Menu w języku polskim</w:t>
            </w:r>
          </w:p>
        </w:tc>
        <w:tc>
          <w:tcPr>
            <w:tcW w:w="2551" w:type="dxa"/>
            <w:noWrap/>
            <w:vAlign w:val="center"/>
            <w:hideMark/>
          </w:tcPr>
          <w:p w14:paraId="26995FF9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5038C8D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041270EA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6629F753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02157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Historia pracy obejmująca 3000 wpisów.</w:t>
            </w:r>
          </w:p>
        </w:tc>
        <w:tc>
          <w:tcPr>
            <w:tcW w:w="2551" w:type="dxa"/>
            <w:noWrap/>
            <w:vAlign w:val="center"/>
            <w:hideMark/>
          </w:tcPr>
          <w:p w14:paraId="31FEB97F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141EFE6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D613DE" w14:textId="77777777" w:rsidTr="00BE77C6">
        <w:trPr>
          <w:trHeight w:val="300"/>
        </w:trPr>
        <w:tc>
          <w:tcPr>
            <w:tcW w:w="851" w:type="dxa"/>
            <w:gridSpan w:val="2"/>
            <w:noWrap/>
            <w:vAlign w:val="center"/>
          </w:tcPr>
          <w:p w14:paraId="52827D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noWrap/>
            <w:vAlign w:val="center"/>
            <w:hideMark/>
          </w:tcPr>
          <w:p w14:paraId="73033BF9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współpracy z czytnikiem kodów kreskowych</w:t>
            </w:r>
          </w:p>
        </w:tc>
        <w:tc>
          <w:tcPr>
            <w:tcW w:w="2551" w:type="dxa"/>
            <w:noWrap/>
            <w:vAlign w:val="center"/>
            <w:hideMark/>
          </w:tcPr>
          <w:p w14:paraId="5E20B5C4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27EA1937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44A3B9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61C51106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602B0A2A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współpracy z systemem do kontrolowanej insulinoterapii będącym na wyposażeniu </w:t>
            </w:r>
            <w:r w:rsidR="00994F9D"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6E31D82E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093F3E45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38B8C1BD" w14:textId="77777777" w:rsidTr="00BE77C6">
        <w:trPr>
          <w:trHeight w:val="600"/>
        </w:trPr>
        <w:tc>
          <w:tcPr>
            <w:tcW w:w="851" w:type="dxa"/>
            <w:gridSpan w:val="2"/>
            <w:noWrap/>
            <w:vAlign w:val="center"/>
          </w:tcPr>
          <w:p w14:paraId="1649D510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297F8D06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Możliwość pracy pompy w środowisku MRI - w dedykowanej stacji będącej na wyposażeniu Zamawiającego</w:t>
            </w:r>
          </w:p>
        </w:tc>
        <w:tc>
          <w:tcPr>
            <w:tcW w:w="2551" w:type="dxa"/>
            <w:noWrap/>
            <w:vAlign w:val="center"/>
            <w:hideMark/>
          </w:tcPr>
          <w:p w14:paraId="1D51DA3A" w14:textId="77777777" w:rsidR="009068B0" w:rsidRPr="009068B0" w:rsidRDefault="009068B0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2126" w:type="dxa"/>
            <w:noWrap/>
            <w:vAlign w:val="center"/>
            <w:hideMark/>
          </w:tcPr>
          <w:p w14:paraId="682D9BA4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9068B0" w:rsidRPr="009068B0" w14:paraId="5AD79D7F" w14:textId="77777777" w:rsidTr="00BE77C6">
        <w:trPr>
          <w:trHeight w:val="870"/>
        </w:trPr>
        <w:tc>
          <w:tcPr>
            <w:tcW w:w="851" w:type="dxa"/>
            <w:gridSpan w:val="2"/>
            <w:noWrap/>
            <w:vAlign w:val="center"/>
          </w:tcPr>
          <w:p w14:paraId="22ED3D5D" w14:textId="77777777" w:rsidR="009068B0" w:rsidRPr="00BE77C6" w:rsidRDefault="009068B0" w:rsidP="00BE77C6">
            <w:pPr>
              <w:pStyle w:val="Akapitzlist"/>
              <w:numPr>
                <w:ilvl w:val="0"/>
                <w:numId w:val="4"/>
              </w:numPr>
              <w:spacing w:line="360" w:lineRule="auto"/>
              <w:rPr>
                <w:rFonts w:ascii="Century Gothic" w:eastAsia="Times New Roman" w:hAnsi="Century Gothic" w:cs="Times New Roman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4395" w:type="dxa"/>
            <w:vAlign w:val="center"/>
            <w:hideMark/>
          </w:tcPr>
          <w:p w14:paraId="0257DA20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>Zużycie energii - pobór mocy przez jedną pompę maksymalnie 8VA</w:t>
            </w:r>
          </w:p>
        </w:tc>
        <w:tc>
          <w:tcPr>
            <w:tcW w:w="2551" w:type="dxa"/>
            <w:noWrap/>
            <w:vAlign w:val="center"/>
            <w:hideMark/>
          </w:tcPr>
          <w:p w14:paraId="7F57C015" w14:textId="77777777" w:rsidR="009068B0" w:rsidRPr="009068B0" w:rsidRDefault="00D75BBF" w:rsidP="009068B0">
            <w:pPr>
              <w:spacing w:line="360" w:lineRule="auto"/>
              <w:jc w:val="center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vAlign w:val="center"/>
            <w:hideMark/>
          </w:tcPr>
          <w:p w14:paraId="6470EA41" w14:textId="77777777" w:rsidR="009068B0" w:rsidRPr="009068B0" w:rsidRDefault="009068B0" w:rsidP="009068B0">
            <w:pPr>
              <w:spacing w:line="360" w:lineRule="auto"/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</w:pP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t xml:space="preserve">Najniższy pobór mocy = 10 pkt. </w:t>
            </w:r>
            <w:r w:rsidRPr="009068B0">
              <w:rPr>
                <w:rFonts w:ascii="Century Gothic" w:eastAsia="Times New Roman" w:hAnsi="Century Gothic" w:cs="Times New Roman"/>
                <w:kern w:val="0"/>
                <w:sz w:val="16"/>
                <w:szCs w:val="16"/>
                <w:lang w:eastAsia="pl-PL"/>
                <w14:ligatures w14:val="none"/>
              </w:rPr>
              <w:br/>
              <w:t>Pozostałe = 0 pkt.</w:t>
            </w:r>
          </w:p>
        </w:tc>
      </w:tr>
    </w:tbl>
    <w:p w14:paraId="1CC201D5" w14:textId="77777777" w:rsidR="00EE0AAF" w:rsidRPr="009068B0" w:rsidRDefault="00EE0AAF" w:rsidP="009068B0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4" w:type="dxa"/>
        <w:tblInd w:w="-2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395"/>
        <w:gridCol w:w="2552"/>
        <w:gridCol w:w="2126"/>
      </w:tblGrid>
      <w:tr w:rsidR="00F379A3" w:rsidRPr="009068B0" w14:paraId="28FAC5D1" w14:textId="77777777" w:rsidTr="00BF60C5">
        <w:trPr>
          <w:trHeight w:val="285"/>
        </w:trPr>
        <w:tc>
          <w:tcPr>
            <w:tcW w:w="99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CD030C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bookmarkStart w:id="0" w:name="_Hlk211005653"/>
            <w:r w:rsidRPr="009068B0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Wymagania dodatkowe </w:t>
            </w:r>
          </w:p>
        </w:tc>
      </w:tr>
      <w:tr w:rsidR="00F379A3" w:rsidRPr="009068B0" w14:paraId="1FDA4411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B054" w14:textId="77777777" w:rsidR="00F379A3" w:rsidRPr="009068B0" w:rsidRDefault="00F379A3" w:rsidP="009068B0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05258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CCEA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4909C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02089F77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F379A3" w:rsidRPr="009068B0" w14:paraId="2FD87D5D" w14:textId="77777777" w:rsidTr="00BE77C6">
        <w:trPr>
          <w:trHeight w:val="8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1FD9F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B852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A1C1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D1D4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2734463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E3373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8946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F94C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AAF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34ADD608" w14:textId="77777777" w:rsidTr="00BE77C6">
        <w:trPr>
          <w:trHeight w:val="24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33319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3B9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Wykonawca powinien zapewnić co najmniej 36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Gwarancja min. 36 miesiące na urządzenie od daty podpisania przez  strony bezusterkowego protokołu odbioru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36 miesięcy – 0 pkt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42 miesięcy – 7 pkt</w:t>
            </w: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622B0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D7AD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701D3351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8C188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42F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DF4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0E06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93AC05F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A635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31BCA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  <w:highlight w:val="yellow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reakcji serwisu w okresie gwarancji od chwili zgłoszenia awarii czyli pojawienie się pracownika serwisu w miejscu awarii lub diagnostyka zdalna w dni robocze max 24 godziny.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DFAB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8DCC8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047EF107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2BC9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938DA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7014E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9B558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39FB4B35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14DEC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4708F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068B0">
              <w:rPr>
                <w:rFonts w:ascii="Century Gothic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EAD7D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26722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7A36E7B6" w14:textId="77777777" w:rsidTr="00BE77C6">
        <w:trPr>
          <w:trHeight w:val="10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118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9F9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W przypadku naprawy trwającej dłużej niż 7 dni kalendarzowych Wykonawca zapewni sprzęt zastępczy o parametrach niegorszych niż oferowany.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24F7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3120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2BCEE2CA" w14:textId="77777777" w:rsidTr="00BE77C6">
        <w:trPr>
          <w:trHeight w:val="8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1D2A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FAB66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4B6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CCF70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481D096D" w14:textId="77777777" w:rsidTr="00BE77C6">
        <w:trPr>
          <w:trHeight w:val="54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F36D3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7158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115320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AEDB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  <w:tr w:rsidR="00F379A3" w:rsidRPr="009068B0" w14:paraId="0CD08E60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6DC5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2E9D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2D88A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1FB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19C8DBF6" w14:textId="77777777" w:rsidTr="00BE77C6">
        <w:trPr>
          <w:trHeight w:val="28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29DE4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A0035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C7CA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72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429AC4DE" w14:textId="77777777" w:rsidTr="00BE77C6">
        <w:trPr>
          <w:trHeight w:val="48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B2B62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C1F39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Dostawa – 7 tygodni (zrealizowanie wszystkich postanowień umowy)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B8A1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5DA0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F379A3" w:rsidRPr="009068B0" w14:paraId="2C16225C" w14:textId="77777777" w:rsidTr="00BE77C6">
        <w:trPr>
          <w:trHeight w:val="48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F4F91" w14:textId="77777777" w:rsidR="00F379A3" w:rsidRPr="009068B0" w:rsidRDefault="00F379A3" w:rsidP="00BE77C6">
            <w:pPr>
              <w:pStyle w:val="Akapitzlist"/>
              <w:numPr>
                <w:ilvl w:val="0"/>
                <w:numId w:val="4"/>
              </w:numPr>
              <w:spacing w:after="0" w:line="360" w:lineRule="auto"/>
              <w:contextualSpacing w:val="0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3C2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7848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9068B0">
              <w:rPr>
                <w:rFonts w:ascii="Century Gothic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2482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</w:p>
        </w:tc>
      </w:tr>
    </w:tbl>
    <w:p w14:paraId="6830ED60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923" w:type="dxa"/>
        <w:tblInd w:w="-28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395"/>
        <w:gridCol w:w="2551"/>
        <w:gridCol w:w="2126"/>
      </w:tblGrid>
      <w:tr w:rsidR="00F379A3" w:rsidRPr="009068B0" w14:paraId="4C051AEC" w14:textId="77777777" w:rsidTr="00BE77C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80F606E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0F32CA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9068B0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F379A3" w:rsidRPr="009068B0" w14:paraId="2376FA13" w14:textId="77777777" w:rsidTr="00BE77C6">
        <w:trPr>
          <w:trHeight w:val="2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AE6AD2B" w14:textId="77777777" w:rsidR="00F379A3" w:rsidRPr="009068B0" w:rsidRDefault="00F379A3" w:rsidP="00E81144">
            <w:pPr>
              <w:pStyle w:val="Akapitzlist"/>
              <w:numPr>
                <w:ilvl w:val="0"/>
                <w:numId w:val="3"/>
              </w:num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tcBorders>
              <w:top w:val="single" w:sz="4" w:space="0" w:color="auto"/>
            </w:tcBorders>
            <w:vAlign w:val="center"/>
          </w:tcPr>
          <w:p w14:paraId="7E8E37DD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31021332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A72D0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26CBA25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26647BE7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7F20DF4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2551" w:type="dxa"/>
            <w:vAlign w:val="center"/>
          </w:tcPr>
          <w:p w14:paraId="1C0E3CF5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Tak/Nie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9454B75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0727582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402DF3D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3DF01CC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2551" w:type="dxa"/>
            <w:vAlign w:val="center"/>
          </w:tcPr>
          <w:p w14:paraId="3F8CD56F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8E4E6AF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7BFC1509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212BCF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03E8272D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2551" w:type="dxa"/>
            <w:vAlign w:val="center"/>
          </w:tcPr>
          <w:p w14:paraId="7C339BD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62EEBE01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4ABA29F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10BFF0F6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2E8BB60E" w14:textId="77777777" w:rsidR="00F379A3" w:rsidRPr="009068B0" w:rsidRDefault="00994F9D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Deklaracja</w:t>
            </w:r>
            <w:r w:rsidR="00F379A3" w:rsidRPr="009068B0">
              <w:rPr>
                <w:rFonts w:ascii="Century Gothic" w:hAnsi="Century Gothic"/>
                <w:sz w:val="16"/>
                <w:szCs w:val="16"/>
              </w:rPr>
              <w:t xml:space="preserve"> środowiskowa produktu (EPD) lub równoważnego dokumentu potwierdzająca niski ślad węglowy</w:t>
            </w:r>
          </w:p>
        </w:tc>
        <w:tc>
          <w:tcPr>
            <w:tcW w:w="2551" w:type="dxa"/>
            <w:vAlign w:val="center"/>
          </w:tcPr>
          <w:p w14:paraId="40D402C4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207ADE37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1D7C0962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678A81E7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47A67A72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Oświadczenie potwierdzające zgodność z dyrektywą RoHS 2011/65/UE – brak substancji niebezpiecznych w komponentach urządzenia</w:t>
            </w:r>
          </w:p>
        </w:tc>
        <w:tc>
          <w:tcPr>
            <w:tcW w:w="2551" w:type="dxa"/>
            <w:vAlign w:val="center"/>
          </w:tcPr>
          <w:p w14:paraId="58B44719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1718623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379A3" w:rsidRPr="009068B0" w14:paraId="292346BE" w14:textId="77777777" w:rsidTr="00BE77C6">
        <w:trPr>
          <w:trHeight w:val="270"/>
        </w:trPr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14:paraId="3A80B9B0" w14:textId="77777777" w:rsidR="00F379A3" w:rsidRPr="009068B0" w:rsidRDefault="00F379A3" w:rsidP="009068B0">
            <w:pPr>
              <w:pStyle w:val="Akapitzlist"/>
              <w:numPr>
                <w:ilvl w:val="0"/>
                <w:numId w:val="3"/>
              </w:numPr>
              <w:spacing w:line="360" w:lineRule="auto"/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395" w:type="dxa"/>
            <w:vAlign w:val="center"/>
          </w:tcPr>
          <w:p w14:paraId="77605A8B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9068B0"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2551" w:type="dxa"/>
            <w:vAlign w:val="center"/>
          </w:tcPr>
          <w:p w14:paraId="467E7CE2" w14:textId="77777777" w:rsidR="00F379A3" w:rsidRPr="009068B0" w:rsidRDefault="00F379A3" w:rsidP="009068B0">
            <w:pPr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 w:rsidRPr="009068B0"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2126" w:type="dxa"/>
            <w:tcBorders>
              <w:right w:val="single" w:sz="4" w:space="0" w:color="auto"/>
            </w:tcBorders>
            <w:vAlign w:val="center"/>
          </w:tcPr>
          <w:p w14:paraId="7D89C3A3" w14:textId="77777777" w:rsidR="00F379A3" w:rsidRPr="009068B0" w:rsidRDefault="00F379A3" w:rsidP="009068B0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495DAAAF" w14:textId="77777777" w:rsidR="00F379A3" w:rsidRPr="009068B0" w:rsidRDefault="00F379A3" w:rsidP="009068B0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p w14:paraId="2969D63D" w14:textId="77777777" w:rsidR="00F379A3" w:rsidRPr="009068B0" w:rsidRDefault="00F379A3" w:rsidP="009068B0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9068B0">
        <w:rPr>
          <w:rFonts w:ascii="Century Gothic" w:hAnsi="Century Gothic"/>
          <w:b/>
          <w:sz w:val="16"/>
          <w:szCs w:val="16"/>
        </w:rPr>
        <w:t xml:space="preserve">SUMA punktów </w:t>
      </w:r>
      <w:r w:rsidR="00BF60C5" w:rsidRPr="009068B0">
        <w:rPr>
          <w:rFonts w:ascii="Century Gothic" w:hAnsi="Century Gothic"/>
          <w:b/>
          <w:sz w:val="16"/>
          <w:szCs w:val="16"/>
        </w:rPr>
        <w:t>2</w:t>
      </w:r>
      <w:r w:rsidRPr="009068B0">
        <w:rPr>
          <w:rFonts w:ascii="Century Gothic" w:hAnsi="Century Gothic"/>
          <w:b/>
          <w:sz w:val="16"/>
          <w:szCs w:val="16"/>
        </w:rPr>
        <w:t>0.</w:t>
      </w:r>
    </w:p>
    <w:p w14:paraId="5C4CB3C1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1036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1"/>
        <w:gridCol w:w="1548"/>
        <w:gridCol w:w="11"/>
      </w:tblGrid>
      <w:tr w:rsidR="00914AA7" w:rsidRPr="008C39DC" w14:paraId="1AC31767" w14:textId="77777777" w:rsidTr="007771F0">
        <w:trPr>
          <w:gridAfter w:val="1"/>
          <w:wAfter w:w="11" w:type="dxa"/>
        </w:trPr>
        <w:tc>
          <w:tcPr>
            <w:tcW w:w="2694" w:type="dxa"/>
            <w:gridSpan w:val="2"/>
          </w:tcPr>
          <w:p w14:paraId="3CD1C87E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Nazwa towaru - asortyment</w:t>
            </w:r>
          </w:p>
        </w:tc>
        <w:tc>
          <w:tcPr>
            <w:tcW w:w="851" w:type="dxa"/>
          </w:tcPr>
          <w:p w14:paraId="57054D82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J.m.</w:t>
            </w:r>
          </w:p>
        </w:tc>
        <w:tc>
          <w:tcPr>
            <w:tcW w:w="567" w:type="dxa"/>
          </w:tcPr>
          <w:p w14:paraId="017B55DD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Ilość</w:t>
            </w:r>
          </w:p>
        </w:tc>
        <w:tc>
          <w:tcPr>
            <w:tcW w:w="1276" w:type="dxa"/>
          </w:tcPr>
          <w:p w14:paraId="7399A665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netto</w:t>
            </w:r>
          </w:p>
        </w:tc>
        <w:tc>
          <w:tcPr>
            <w:tcW w:w="1275" w:type="dxa"/>
          </w:tcPr>
          <w:p w14:paraId="689169D9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netto</w:t>
            </w:r>
          </w:p>
        </w:tc>
        <w:tc>
          <w:tcPr>
            <w:tcW w:w="851" w:type="dxa"/>
          </w:tcPr>
          <w:p w14:paraId="2D96AAA3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Stawka podatku VAT</w:t>
            </w:r>
          </w:p>
        </w:tc>
        <w:tc>
          <w:tcPr>
            <w:tcW w:w="1276" w:type="dxa"/>
          </w:tcPr>
          <w:p w14:paraId="081CEBE9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Cena jednostkowa brutto</w:t>
            </w:r>
          </w:p>
        </w:tc>
        <w:tc>
          <w:tcPr>
            <w:tcW w:w="1559" w:type="dxa"/>
            <w:gridSpan w:val="2"/>
          </w:tcPr>
          <w:p w14:paraId="58930210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/>
                <w:sz w:val="18"/>
                <w:szCs w:val="18"/>
                <w:lang w:eastAsia="ja-JP"/>
              </w:rPr>
            </w:pPr>
            <w:r w:rsidRPr="008C39DC">
              <w:rPr>
                <w:rFonts w:eastAsiaTheme="minorEastAsia"/>
                <w:sz w:val="18"/>
                <w:szCs w:val="18"/>
                <w:lang w:eastAsia="ja-JP"/>
              </w:rPr>
              <w:t>Wartość brutto</w:t>
            </w:r>
          </w:p>
        </w:tc>
      </w:tr>
      <w:tr w:rsidR="00914AA7" w:rsidRPr="008C39DC" w14:paraId="505E3CC5" w14:textId="77777777" w:rsidTr="007771F0">
        <w:tc>
          <w:tcPr>
            <w:tcW w:w="568" w:type="dxa"/>
          </w:tcPr>
          <w:p w14:paraId="496579FF" w14:textId="77777777" w:rsidR="00914AA7" w:rsidRPr="008C39DC" w:rsidRDefault="00914AA7" w:rsidP="007771F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</w:p>
        </w:tc>
        <w:tc>
          <w:tcPr>
            <w:tcW w:w="2126" w:type="dxa"/>
          </w:tcPr>
          <w:p w14:paraId="55061296" w14:textId="2D10EB4D" w:rsidR="00914AA7" w:rsidRPr="008C39DC" w:rsidRDefault="00914AA7" w:rsidP="007771F0">
            <w:pPr>
              <w:spacing w:line="360" w:lineRule="auto"/>
              <w:rPr>
                <w:rFonts w:eastAsiaTheme="minorEastAsia" w:cstheme="minorHAnsi"/>
                <w:lang w:eastAsia="ja-JP"/>
              </w:rPr>
            </w:pPr>
            <w:r w:rsidRPr="00914AA7">
              <w:rPr>
                <w:rFonts w:ascii="Century Gothic" w:hAnsi="Century Gothic"/>
                <w:b/>
                <w:bCs/>
                <w:kern w:val="0"/>
                <w:sz w:val="16"/>
                <w:szCs w:val="16"/>
                <w14:ligatures w14:val="none"/>
              </w:rPr>
              <w:t>Pompy infuzyjne dwustrzykawkowe</w:t>
            </w:r>
          </w:p>
        </w:tc>
        <w:tc>
          <w:tcPr>
            <w:tcW w:w="851" w:type="dxa"/>
          </w:tcPr>
          <w:p w14:paraId="6503F45C" w14:textId="132C1C03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>
              <w:rPr>
                <w:rFonts w:eastAsiaTheme="minorEastAsia" w:cstheme="minorHAnsi"/>
                <w:lang w:eastAsia="ja-JP"/>
              </w:rPr>
              <w:t>szt.</w:t>
            </w:r>
          </w:p>
        </w:tc>
        <w:tc>
          <w:tcPr>
            <w:tcW w:w="567" w:type="dxa"/>
          </w:tcPr>
          <w:p w14:paraId="63C24E87" w14:textId="35D77C26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  <w:r w:rsidRPr="008C39DC">
              <w:rPr>
                <w:rFonts w:eastAsiaTheme="minorEastAsia" w:cstheme="minorHAnsi"/>
                <w:lang w:eastAsia="ja-JP"/>
              </w:rPr>
              <w:t>1</w:t>
            </w:r>
            <w:r>
              <w:rPr>
                <w:rFonts w:eastAsiaTheme="minorEastAsia" w:cstheme="minorHAnsi"/>
                <w:lang w:eastAsia="ja-JP"/>
              </w:rPr>
              <w:t>2</w:t>
            </w:r>
          </w:p>
        </w:tc>
        <w:tc>
          <w:tcPr>
            <w:tcW w:w="1276" w:type="dxa"/>
          </w:tcPr>
          <w:p w14:paraId="304B7A78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75" w:type="dxa"/>
          </w:tcPr>
          <w:p w14:paraId="5AA616DF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851" w:type="dxa"/>
          </w:tcPr>
          <w:p w14:paraId="30C85B94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287" w:type="dxa"/>
            <w:gridSpan w:val="2"/>
          </w:tcPr>
          <w:p w14:paraId="116E0C31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lang w:eastAsia="ja-JP"/>
              </w:rPr>
            </w:pPr>
          </w:p>
        </w:tc>
        <w:tc>
          <w:tcPr>
            <w:tcW w:w="1559" w:type="dxa"/>
            <w:gridSpan w:val="2"/>
          </w:tcPr>
          <w:p w14:paraId="45D67BF5" w14:textId="77777777" w:rsidR="00914AA7" w:rsidRPr="008C39DC" w:rsidRDefault="00914AA7" w:rsidP="007771F0">
            <w:pPr>
              <w:widowControl w:val="0"/>
              <w:autoSpaceDE w:val="0"/>
              <w:autoSpaceDN w:val="0"/>
              <w:adjustRightInd w:val="0"/>
              <w:spacing w:line="278" w:lineRule="auto"/>
              <w:jc w:val="center"/>
              <w:rPr>
                <w:rFonts w:eastAsiaTheme="minorEastAsia" w:cstheme="minorHAnsi"/>
                <w:b/>
                <w:bCs/>
                <w:lang w:eastAsia="ja-JP"/>
              </w:rPr>
            </w:pPr>
          </w:p>
        </w:tc>
      </w:tr>
    </w:tbl>
    <w:tbl>
      <w:tblPr>
        <w:tblStyle w:val="Tabela-Siatka"/>
        <w:tblW w:w="10349" w:type="dxa"/>
        <w:tblInd w:w="-431" w:type="dxa"/>
        <w:tblLook w:val="04A0" w:firstRow="1" w:lastRow="0" w:firstColumn="1" w:lastColumn="0" w:noHBand="0" w:noVBand="1"/>
      </w:tblPr>
      <w:tblGrid>
        <w:gridCol w:w="568"/>
        <w:gridCol w:w="2126"/>
        <w:gridCol w:w="851"/>
        <w:gridCol w:w="567"/>
        <w:gridCol w:w="1276"/>
        <w:gridCol w:w="1275"/>
        <w:gridCol w:w="851"/>
        <w:gridCol w:w="1276"/>
        <w:gridCol w:w="1559"/>
      </w:tblGrid>
      <w:tr w:rsidR="00914AA7" w:rsidRPr="008C39DC" w14:paraId="01889060" w14:textId="77777777" w:rsidTr="007771F0">
        <w:tc>
          <w:tcPr>
            <w:tcW w:w="568" w:type="dxa"/>
          </w:tcPr>
          <w:p w14:paraId="4C902F6F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2126" w:type="dxa"/>
          </w:tcPr>
          <w:p w14:paraId="5278807A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xxxxxxxxxxxx</w:t>
            </w:r>
          </w:p>
        </w:tc>
        <w:tc>
          <w:tcPr>
            <w:tcW w:w="851" w:type="dxa"/>
          </w:tcPr>
          <w:p w14:paraId="73E5A946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567" w:type="dxa"/>
          </w:tcPr>
          <w:p w14:paraId="4C9BE448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13916FC2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xxxxx</w:t>
            </w:r>
          </w:p>
        </w:tc>
        <w:tc>
          <w:tcPr>
            <w:tcW w:w="1275" w:type="dxa"/>
          </w:tcPr>
          <w:p w14:paraId="4D791189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851" w:type="dxa"/>
          </w:tcPr>
          <w:p w14:paraId="38A2871E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276" w:type="dxa"/>
          </w:tcPr>
          <w:p w14:paraId="4E265547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</w:pPr>
            <w:r w:rsidRPr="008C39DC">
              <w:rPr>
                <w:rFonts w:ascii="Century Gothic" w:eastAsia="Calibri" w:hAnsi="Century Gothic" w:cs="Arial"/>
                <w:kern w:val="0"/>
                <w:sz w:val="16"/>
                <w:szCs w:val="16"/>
                <w14:ligatures w14:val="none"/>
              </w:rPr>
              <w:t>xxx</w:t>
            </w:r>
          </w:p>
        </w:tc>
        <w:tc>
          <w:tcPr>
            <w:tcW w:w="1559" w:type="dxa"/>
          </w:tcPr>
          <w:p w14:paraId="2FA2544B" w14:textId="77777777" w:rsidR="00914AA7" w:rsidRPr="008C39DC" w:rsidRDefault="00914AA7" w:rsidP="007771F0">
            <w:pPr>
              <w:spacing w:line="360" w:lineRule="auto"/>
              <w:jc w:val="center"/>
              <w:rPr>
                <w:rFonts w:ascii="Century Gothic" w:eastAsia="Calibri" w:hAnsi="Century Gothic" w:cs="Arial"/>
                <w:b/>
                <w:bCs/>
                <w:kern w:val="0"/>
                <w:sz w:val="16"/>
                <w:szCs w:val="16"/>
                <w14:ligatures w14:val="none"/>
              </w:rPr>
            </w:pPr>
          </w:p>
        </w:tc>
      </w:tr>
    </w:tbl>
    <w:p w14:paraId="6F175F28" w14:textId="77777777" w:rsidR="00914AA7" w:rsidRPr="008C39DC" w:rsidRDefault="00914AA7" w:rsidP="00914AA7">
      <w:pPr>
        <w:spacing w:after="0" w:line="360" w:lineRule="auto"/>
        <w:rPr>
          <w:rFonts w:ascii="Century Gothic" w:eastAsia="Calibri" w:hAnsi="Century Gothic" w:cs="Arial"/>
          <w:kern w:val="0"/>
          <w:sz w:val="16"/>
          <w:szCs w:val="16"/>
          <w14:ligatures w14:val="none"/>
        </w:rPr>
      </w:pPr>
    </w:p>
    <w:p w14:paraId="6EAA68C8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284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</w:p>
    <w:p w14:paraId="1A82B193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u w:val="single"/>
          <w:lang w:eastAsia="ja-JP"/>
        </w:rPr>
        <w:t>UWAGA: Zamawiający podaje sposób wyliczenia wartości netto i brutto:</w:t>
      </w:r>
    </w:p>
    <w:p w14:paraId="22E3240E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bookmarkStart w:id="1" w:name="_Hlk65832846"/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Cena jednostkowa netto x ilość = wartość netto</w:t>
      </w:r>
    </w:p>
    <w:p w14:paraId="7EEAE3C8" w14:textId="77777777" w:rsidR="00914AA7" w:rsidRPr="008C39DC" w:rsidRDefault="00914AA7" w:rsidP="00914AA7">
      <w:pPr>
        <w:widowControl w:val="0"/>
        <w:autoSpaceDE w:val="0"/>
        <w:autoSpaceDN w:val="0"/>
        <w:spacing w:line="278" w:lineRule="auto"/>
        <w:ind w:left="-567"/>
        <w:contextualSpacing/>
        <w:rPr>
          <w:rFonts w:ascii="Century Gothic" w:eastAsia="Calibri" w:hAnsi="Century Gothic"/>
          <w:b/>
          <w:sz w:val="20"/>
          <w:szCs w:val="20"/>
          <w:lang w:eastAsia="ja-JP"/>
        </w:rPr>
      </w:pPr>
      <w:r w:rsidRPr="008C39DC">
        <w:rPr>
          <w:rFonts w:ascii="Century Gothic" w:eastAsia="Calibri" w:hAnsi="Century Gothic"/>
          <w:b/>
          <w:sz w:val="20"/>
          <w:szCs w:val="20"/>
          <w:lang w:eastAsia="ja-JP"/>
        </w:rPr>
        <w:t>Wartość netto + stawka podatku Vat = wartość brutto</w:t>
      </w:r>
    </w:p>
    <w:bookmarkEnd w:id="1"/>
    <w:p w14:paraId="32EF5101" w14:textId="77777777" w:rsidR="00914AA7" w:rsidRDefault="00914AA7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58777D5" w14:textId="77777777" w:rsidR="00914AA7" w:rsidRDefault="00914AA7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598EBE7" w14:textId="22035959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69EA8E6" w14:textId="77777777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1.</w:t>
      </w:r>
      <w:r w:rsidRPr="009068B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1FC2714C" w14:textId="77777777" w:rsidR="00F379A3" w:rsidRPr="009068B0" w:rsidRDefault="00F379A3" w:rsidP="00914AA7">
      <w:pPr>
        <w:pStyle w:val="Bezodstpw"/>
        <w:spacing w:line="360" w:lineRule="auto"/>
        <w:ind w:left="-567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2.</w:t>
      </w:r>
      <w:r w:rsidRPr="009068B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0181401D" w14:textId="77777777" w:rsidR="00F379A3" w:rsidRPr="009068B0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</w:p>
    <w:p w14:paraId="64BACF93" w14:textId="77777777" w:rsidR="00914AA7" w:rsidRDefault="00F379A3" w:rsidP="009068B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</w:r>
    </w:p>
    <w:p w14:paraId="5685414C" w14:textId="6DBA28EC" w:rsidR="00F379A3" w:rsidRPr="009068B0" w:rsidRDefault="00F379A3" w:rsidP="00914AA7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>…………………………….</w:t>
      </w:r>
    </w:p>
    <w:p w14:paraId="4F1C172F" w14:textId="4B1BB4AB" w:rsidR="00F379A3" w:rsidRPr="009068B0" w:rsidRDefault="00F379A3" w:rsidP="00914AA7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9068B0">
        <w:rPr>
          <w:rFonts w:ascii="Century Gothic" w:hAnsi="Century Gothic"/>
          <w:sz w:val="16"/>
          <w:szCs w:val="16"/>
        </w:rPr>
        <w:tab/>
      </w:r>
      <w:r w:rsidRPr="009068B0">
        <w:rPr>
          <w:rFonts w:ascii="Century Gothic" w:hAnsi="Century Gothic"/>
          <w:sz w:val="16"/>
          <w:szCs w:val="16"/>
        </w:rPr>
        <w:tab/>
        <w:t>Podpis Wykonawc</w:t>
      </w:r>
      <w:bookmarkEnd w:id="0"/>
      <w:r w:rsidRPr="009068B0">
        <w:rPr>
          <w:rFonts w:ascii="Century Gothic" w:hAnsi="Century Gothic"/>
          <w:sz w:val="16"/>
          <w:szCs w:val="16"/>
        </w:rPr>
        <w:t>y</w:t>
      </w:r>
    </w:p>
    <w:sectPr w:rsidR="00F379A3" w:rsidRPr="009068B0" w:rsidSect="0040276C">
      <w:headerReference w:type="default" r:id="rId7"/>
      <w:pgSz w:w="11906" w:h="16838"/>
      <w:pgMar w:top="241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1E127" w14:textId="77777777" w:rsidR="0003698A" w:rsidRDefault="0003698A" w:rsidP="0040276C">
      <w:pPr>
        <w:spacing w:after="0" w:line="240" w:lineRule="auto"/>
      </w:pPr>
      <w:r>
        <w:separator/>
      </w:r>
    </w:p>
  </w:endnote>
  <w:endnote w:type="continuationSeparator" w:id="0">
    <w:p w14:paraId="0D2EAB74" w14:textId="77777777" w:rsidR="0003698A" w:rsidRDefault="0003698A" w:rsidP="0040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0BB55" w14:textId="77777777" w:rsidR="0003698A" w:rsidRDefault="0003698A" w:rsidP="0040276C">
      <w:pPr>
        <w:spacing w:after="0" w:line="240" w:lineRule="auto"/>
      </w:pPr>
      <w:r>
        <w:separator/>
      </w:r>
    </w:p>
  </w:footnote>
  <w:footnote w:type="continuationSeparator" w:id="0">
    <w:p w14:paraId="584E5B64" w14:textId="77777777" w:rsidR="0003698A" w:rsidRDefault="0003698A" w:rsidP="004027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5FF7" w14:textId="77777777" w:rsidR="0040276C" w:rsidRDefault="0040276C">
    <w:pPr>
      <w:pStyle w:val="Nagwek"/>
    </w:pPr>
    <w:r w:rsidRPr="00006301">
      <w:rPr>
        <w:noProof/>
      </w:rPr>
      <w:drawing>
        <wp:inline distT="0" distB="0" distL="0" distR="0" wp14:anchorId="6180EFD0" wp14:editId="2A7CE61D">
          <wp:extent cx="5760720" cy="738505"/>
          <wp:effectExtent l="0" t="0" r="0" b="444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7953"/>
    <w:multiLevelType w:val="singleLevel"/>
    <w:tmpl w:val="6F50B0E2"/>
    <w:lvl w:ilvl="0">
      <w:start w:val="8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1" w15:restartNumberingAfterBreak="0">
    <w:nsid w:val="51B304F4"/>
    <w:multiLevelType w:val="hybridMultilevel"/>
    <w:tmpl w:val="70B2FA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420C5C"/>
    <w:multiLevelType w:val="hybridMultilevel"/>
    <w:tmpl w:val="4E884C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F22A6B"/>
    <w:multiLevelType w:val="hybridMultilevel"/>
    <w:tmpl w:val="77929370"/>
    <w:lvl w:ilvl="0" w:tplc="60E0DF86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8913501">
    <w:abstractNumId w:val="1"/>
  </w:num>
  <w:num w:numId="2" w16cid:durableId="190997039">
    <w:abstractNumId w:val="2"/>
  </w:num>
  <w:num w:numId="3" w16cid:durableId="343703137">
    <w:abstractNumId w:val="0"/>
  </w:num>
  <w:num w:numId="4" w16cid:durableId="1133450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63C"/>
    <w:rsid w:val="0003698A"/>
    <w:rsid w:val="000D7915"/>
    <w:rsid w:val="00281BFF"/>
    <w:rsid w:val="0040276C"/>
    <w:rsid w:val="004503E9"/>
    <w:rsid w:val="0047363C"/>
    <w:rsid w:val="00484F91"/>
    <w:rsid w:val="00555A3E"/>
    <w:rsid w:val="005970B2"/>
    <w:rsid w:val="005E6CFA"/>
    <w:rsid w:val="00661320"/>
    <w:rsid w:val="0071478A"/>
    <w:rsid w:val="007221F2"/>
    <w:rsid w:val="007F0127"/>
    <w:rsid w:val="007F7E6B"/>
    <w:rsid w:val="008A72BA"/>
    <w:rsid w:val="009068B0"/>
    <w:rsid w:val="00914AA7"/>
    <w:rsid w:val="00931B48"/>
    <w:rsid w:val="00994F9D"/>
    <w:rsid w:val="00A051A2"/>
    <w:rsid w:val="00AE5383"/>
    <w:rsid w:val="00B2419A"/>
    <w:rsid w:val="00BE77C6"/>
    <w:rsid w:val="00BF60C5"/>
    <w:rsid w:val="00C00441"/>
    <w:rsid w:val="00D43B60"/>
    <w:rsid w:val="00D75BBF"/>
    <w:rsid w:val="00E51A08"/>
    <w:rsid w:val="00E73CE8"/>
    <w:rsid w:val="00E81144"/>
    <w:rsid w:val="00EE0AAF"/>
    <w:rsid w:val="00F37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8EF909"/>
  <w15:chartTrackingRefBased/>
  <w15:docId w15:val="{3B6D2FFB-F848-4932-A6F0-1B525410A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3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276C"/>
  </w:style>
  <w:style w:type="paragraph" w:styleId="Stopka">
    <w:name w:val="footer"/>
    <w:basedOn w:val="Normalny"/>
    <w:link w:val="StopkaZnak"/>
    <w:uiPriority w:val="99"/>
    <w:unhideWhenUsed/>
    <w:rsid w:val="0040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276C"/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F379A3"/>
    <w:pPr>
      <w:ind w:left="720"/>
      <w:contextualSpacing/>
    </w:pPr>
  </w:style>
  <w:style w:type="paragraph" w:styleId="Bezodstpw">
    <w:name w:val="No Spacing"/>
    <w:uiPriority w:val="1"/>
    <w:qFormat/>
    <w:rsid w:val="00F379A3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4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F379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1590</Words>
  <Characters>9540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4</cp:revision>
  <cp:lastPrinted>2026-02-10T13:22:00Z</cp:lastPrinted>
  <dcterms:created xsi:type="dcterms:W3CDTF">2026-02-10T13:21:00Z</dcterms:created>
  <dcterms:modified xsi:type="dcterms:W3CDTF">2026-02-13T11:20:00Z</dcterms:modified>
</cp:coreProperties>
</file>