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38CB4A" w14:textId="21C713E0" w:rsidR="00843A88" w:rsidRPr="00AD45A9" w:rsidRDefault="00C061E3" w:rsidP="00E4759B">
      <w:pPr>
        <w:jc w:val="right"/>
        <w:rPr>
          <w:rFonts w:ascii="Arial" w:hAnsi="Arial" w:cs="Arial"/>
          <w:sz w:val="24"/>
          <w:szCs w:val="24"/>
        </w:rPr>
      </w:pPr>
      <w:r w:rsidRPr="00C061E3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C061E3">
        <w:rPr>
          <w:rFonts w:ascii="Arial" w:hAnsi="Arial" w:cs="Arial"/>
          <w:sz w:val="24"/>
          <w:szCs w:val="24"/>
        </w:rPr>
        <w:t>2026-02-16</w:t>
      </w:r>
    </w:p>
    <w:p w14:paraId="13E1ED23" w14:textId="77777777" w:rsidR="00C061E3" w:rsidRPr="00C061E3" w:rsidRDefault="00C061E3" w:rsidP="00E4759B">
      <w:pPr>
        <w:rPr>
          <w:rFonts w:ascii="Arial" w:hAnsi="Arial" w:cs="Arial"/>
          <w:b/>
          <w:bCs/>
          <w:sz w:val="24"/>
          <w:szCs w:val="24"/>
        </w:rPr>
      </w:pPr>
      <w:r w:rsidRPr="00C061E3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1DB8085" w14:textId="5D531335" w:rsidR="00843A88" w:rsidRPr="00AD45A9" w:rsidRDefault="00C061E3" w:rsidP="00E4759B">
      <w:pPr>
        <w:rPr>
          <w:rFonts w:ascii="Arial" w:hAnsi="Arial" w:cs="Arial"/>
          <w:b/>
          <w:bCs/>
          <w:sz w:val="24"/>
          <w:szCs w:val="24"/>
        </w:rPr>
      </w:pPr>
      <w:r w:rsidRPr="00C061E3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2CDE2F5B" w14:textId="0E814483" w:rsidR="00843A88" w:rsidRPr="00AD45A9" w:rsidRDefault="00C061E3" w:rsidP="00E4759B">
      <w:pPr>
        <w:rPr>
          <w:rFonts w:ascii="Arial" w:hAnsi="Arial" w:cs="Arial"/>
          <w:sz w:val="24"/>
          <w:szCs w:val="24"/>
        </w:rPr>
      </w:pPr>
      <w:r w:rsidRPr="00C061E3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061E3">
        <w:rPr>
          <w:rFonts w:ascii="Arial" w:hAnsi="Arial" w:cs="Arial"/>
          <w:sz w:val="24"/>
          <w:szCs w:val="24"/>
        </w:rPr>
        <w:t>7/19</w:t>
      </w:r>
    </w:p>
    <w:p w14:paraId="62CB8302" w14:textId="614B0935" w:rsidR="00843A88" w:rsidRPr="00AD45A9" w:rsidRDefault="00C061E3" w:rsidP="00E4759B">
      <w:pPr>
        <w:rPr>
          <w:rFonts w:ascii="Arial" w:hAnsi="Arial" w:cs="Arial"/>
          <w:sz w:val="24"/>
          <w:szCs w:val="24"/>
        </w:rPr>
      </w:pPr>
      <w:r w:rsidRPr="00C061E3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C061E3">
        <w:rPr>
          <w:rFonts w:ascii="Arial" w:hAnsi="Arial" w:cs="Arial"/>
          <w:sz w:val="24"/>
          <w:szCs w:val="24"/>
        </w:rPr>
        <w:t>Poznań</w:t>
      </w:r>
    </w:p>
    <w:p w14:paraId="028DC805" w14:textId="77777777" w:rsidR="00E4759B" w:rsidRDefault="00E4759B" w:rsidP="00E475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77DED837" w14:textId="0098D771" w:rsidR="00843A88" w:rsidRPr="00AD45A9" w:rsidRDefault="00843A88" w:rsidP="00E475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3B19A001" w14:textId="77777777" w:rsidR="00843A88" w:rsidRDefault="00843A88" w:rsidP="00E475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1BEB351F" w14:textId="77777777" w:rsidR="00E4759B" w:rsidRDefault="00E4759B" w:rsidP="00E4759B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11C211A" w14:textId="77777777" w:rsidR="004E4B64" w:rsidRPr="004E4B64" w:rsidRDefault="004E4B64" w:rsidP="00E4759B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57523F0C" w14:textId="77777777" w:rsidTr="00FD4AEC">
        <w:tc>
          <w:tcPr>
            <w:tcW w:w="2269" w:type="dxa"/>
          </w:tcPr>
          <w:p w14:paraId="0F2EBB04" w14:textId="77777777" w:rsidR="004E4B64" w:rsidRPr="004E4B64" w:rsidRDefault="004E4B64" w:rsidP="00E4759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0EC93065" w14:textId="0A7441B1" w:rsidR="004E4B64" w:rsidRPr="004E4B64" w:rsidRDefault="00C061E3" w:rsidP="00E475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61E3">
              <w:rPr>
                <w:rFonts w:ascii="Arial" w:hAnsi="Arial" w:cs="Arial"/>
                <w:bCs/>
                <w:sz w:val="24"/>
                <w:szCs w:val="24"/>
              </w:rPr>
              <w:t>Specjalistyczne prześcieradła do okrycia stołu operacyjnego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061E3" w:rsidRPr="004E4B64" w14:paraId="2869024A" w14:textId="77777777" w:rsidTr="00B15623">
        <w:tc>
          <w:tcPr>
            <w:tcW w:w="2269" w:type="dxa"/>
          </w:tcPr>
          <w:p w14:paraId="163C5C77" w14:textId="77777777" w:rsidR="00C061E3" w:rsidRPr="004E4B64" w:rsidRDefault="00C061E3" w:rsidP="00E4759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4B3FFCC" w14:textId="3A2BC925" w:rsidR="00C061E3" w:rsidRPr="004E4B64" w:rsidRDefault="00C061E3" w:rsidP="00E4759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061E3">
              <w:rPr>
                <w:rFonts w:ascii="Arial" w:hAnsi="Arial" w:cs="Arial"/>
                <w:bCs/>
                <w:sz w:val="24"/>
                <w:szCs w:val="24"/>
              </w:rPr>
              <w:t>SZW/DZP/1/2026</w:t>
            </w:r>
          </w:p>
        </w:tc>
      </w:tr>
    </w:tbl>
    <w:p w14:paraId="71EAF8BF" w14:textId="77777777" w:rsidR="004E4B64" w:rsidRPr="00AD45A9" w:rsidRDefault="004E4B64" w:rsidP="00E4759B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178283D9" w14:textId="77777777" w:rsidTr="00C46732">
        <w:tc>
          <w:tcPr>
            <w:tcW w:w="9330" w:type="dxa"/>
            <w:shd w:val="clear" w:color="auto" w:fill="F2F2F2"/>
            <w:hideMark/>
          </w:tcPr>
          <w:p w14:paraId="5E55AAB3" w14:textId="77777777" w:rsidR="00843A88" w:rsidRPr="00AD45A9" w:rsidRDefault="00843A88" w:rsidP="00E4759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1FA46139" w14:textId="77777777" w:rsidR="00E4759B" w:rsidRDefault="00E4759B" w:rsidP="00E4759B">
      <w:pPr>
        <w:jc w:val="both"/>
        <w:rPr>
          <w:rFonts w:ascii="Arial" w:hAnsi="Arial" w:cs="Arial"/>
          <w:sz w:val="24"/>
          <w:szCs w:val="24"/>
        </w:rPr>
      </w:pPr>
    </w:p>
    <w:p w14:paraId="0508E81D" w14:textId="67AA8B7D" w:rsidR="0012774F" w:rsidRPr="00E935D6" w:rsidRDefault="00520165" w:rsidP="00E4759B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C061E3" w:rsidRPr="00C061E3">
        <w:rPr>
          <w:rFonts w:ascii="Arial" w:hAnsi="Arial" w:cs="Arial"/>
          <w:b/>
          <w:sz w:val="24"/>
          <w:szCs w:val="24"/>
        </w:rPr>
        <w:t>Szpital Wojewódzki w Poznaniu</w:t>
      </w:r>
      <w:r w:rsidR="00E4759B">
        <w:rPr>
          <w:rFonts w:ascii="Arial" w:hAnsi="Arial" w:cs="Arial"/>
          <w:b/>
          <w:sz w:val="24"/>
          <w:szCs w:val="24"/>
        </w:rPr>
        <w:t xml:space="preserve">, </w:t>
      </w:r>
      <w:r w:rsidR="00C061E3" w:rsidRPr="00C061E3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C061E3" w:rsidRPr="00C061E3">
        <w:rPr>
          <w:rFonts w:ascii="Arial" w:hAnsi="Arial" w:cs="Arial"/>
          <w:sz w:val="24"/>
          <w:szCs w:val="24"/>
        </w:rPr>
        <w:t>(</w:t>
      </w:r>
      <w:proofErr w:type="spellStart"/>
      <w:r w:rsidR="00C061E3" w:rsidRPr="00C061E3">
        <w:rPr>
          <w:rFonts w:ascii="Arial" w:hAnsi="Arial" w:cs="Arial"/>
          <w:sz w:val="24"/>
          <w:szCs w:val="24"/>
        </w:rPr>
        <w:t>t.j</w:t>
      </w:r>
      <w:proofErr w:type="spellEnd"/>
      <w:r w:rsidR="00C061E3" w:rsidRPr="00C061E3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C061E3" w:rsidRPr="00C061E3">
        <w:rPr>
          <w:rFonts w:ascii="Arial" w:hAnsi="Arial" w:cs="Arial"/>
          <w:sz w:val="24"/>
          <w:szCs w:val="24"/>
        </w:rPr>
        <w:t>późn</w:t>
      </w:r>
      <w:proofErr w:type="spellEnd"/>
      <w:r w:rsidR="00C061E3" w:rsidRPr="00C061E3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061E3" w:rsidRPr="00E935D6" w14:paraId="0ADF1A67" w14:textId="77777777" w:rsidTr="00B15623">
        <w:tc>
          <w:tcPr>
            <w:tcW w:w="9356" w:type="dxa"/>
          </w:tcPr>
          <w:p w14:paraId="2CABB974" w14:textId="77777777" w:rsidR="00E4759B" w:rsidRDefault="00E4759B" w:rsidP="00E4759B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606AB89" w14:textId="14B63213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 umowy:</w:t>
            </w:r>
          </w:p>
          <w:p w14:paraId="4B0297C7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Zwracamy się z prośbą o umieszczenie w umowie zapisu dotyczycącego minimum logistycznego tj. Zamawiający będzie składał zamówienie według bieżących potrzeb, przy czym wartość zamówienia jednostkowego nie powinna być niższa niż 500 zł netto? Odpowiedź: Zgodnie z wzorem umowy.</w:t>
            </w:r>
          </w:p>
          <w:p w14:paraId="494176A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2A5A8C1" w14:textId="24405B01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Pakiet 1 poz. 1 -</w:t>
            </w:r>
            <w:r w:rsidR="00E475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061E3">
              <w:rPr>
                <w:rFonts w:ascii="Arial" w:hAnsi="Arial" w:cs="Arial"/>
                <w:sz w:val="24"/>
                <w:szCs w:val="24"/>
              </w:rPr>
              <w:t>Czy Zamawiający dopuści sterylną serwetę wykonaną z dwuwarstwowego laminatu o gramaturze 60g/m2, w kolorze niebieskim w rozmiarze 150x200cm, o odporności na przenikanie cieczy 196cm H2O? Odpowiedź: Zamawiający nie dopuści. Oferowana serweta jest za duża dla Zamawiającego, a odporność na przenikanie cieczy znacznie poniżej wymagań.</w:t>
            </w:r>
          </w:p>
          <w:p w14:paraId="45C33AAA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074D3D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Pakiet 1 poz. 1 - Czy Zamawiający dopuści prześcieradło wykonane z włókniny polipropylenowej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podfoliowanej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o gramaturze 45g/m2 w kolorze zielonym? Odpowiedź: Zamawiający nie dopuści. Oferowany produkt nie jest zgodny z wymaganiami Zamawiającego.</w:t>
            </w:r>
          </w:p>
          <w:p w14:paraId="179E8FBE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0F7BB6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Pakiet 1 poz. 1 -Czy Zamawiający odstąpi od spełnienia normy EN 13795-3 +A1.2010? Odpowiedź: Zamawiający nie odstąpi.</w:t>
            </w:r>
          </w:p>
          <w:p w14:paraId="40E54F36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Pakiet 1, pozycja 2 - Czy Zamawiający dopuści zestaw składający się z :</w:t>
            </w:r>
          </w:p>
          <w:p w14:paraId="7DCEF3D6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a) Podkład chłonny oddychający na stół operacyjny w rozmiarze 100 x 225 cm z wkładem chłonnym 60 x 203cm ±2,5 cm; wykonany z pięciu warstw tj. włókniny polipropylenowej 36 g, dwóch warstw celulozy 33,25 g, pulpy celulozowej 249,3 g z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superabsorbentem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SAP 30,45 g, warstwa zewnętrzna (spodnia) 117 g. Zapewnia trwałe zatrzymanie bakterii: MRSA,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E.Coli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. Podkład umożliwia przenoszenie pacjenta do 230 kg. Waga całkowita podkładu 470 g ±5g, chłonność 5267,5 g; opakowanie 5 szt. </w:t>
            </w:r>
          </w:p>
          <w:p w14:paraId="084D956D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Opakowanie posiada uchwyt umożliwiający przenoszenie.</w:t>
            </w:r>
          </w:p>
          <w:p w14:paraId="000E2E08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b) Termiczne okrycie pacjenta jednorazowego użytku;  warstwy zewnętrzne wykonane z bardzo miękkiej włókniny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Spunlace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40 g/m? w kolorze białym, warstwa wewnętrzna z </w:t>
            </w:r>
            <w:r w:rsidRPr="00C061E3">
              <w:rPr>
                <w:rFonts w:ascii="Arial" w:hAnsi="Arial" w:cs="Arial"/>
                <w:sz w:val="24"/>
                <w:szCs w:val="24"/>
              </w:rPr>
              <w:lastRenderedPageBreak/>
              <w:t xml:space="preserve">poliestru, z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przeszyciami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na całej powierzchni, zapobiegającymi przemieszczaniu się elementów poszczególnych warstw;  szwy ultradźwiękowe. Rozmiar 110 x 210 cm? Odpowiedź: Zamawiający nie dopuści. Oferowana szerokość strefy absorpcyjnej w p. a  jest za wąska (60cm) w stosunku do wymaganej (85 cm).</w:t>
            </w:r>
          </w:p>
          <w:p w14:paraId="52C63FE6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B68E4C7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1</w:t>
            </w:r>
          </w:p>
          <w:p w14:paraId="2284161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Czy Zamawiający dopuści prześcieradło w kolorze niebieskim lub zielonym? Pozostałe wymagania zgodne z SWZ. Odpowiedź: Zamawiający wymaga prześcieradła w kolorze niebieskim.</w:t>
            </w:r>
          </w:p>
          <w:p w14:paraId="7CC98B7D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CF8A338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1</w:t>
            </w:r>
          </w:p>
          <w:p w14:paraId="606CCDB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Czy Zamawiający dopuści prześcieradło wykonane z laminatu dwuwarstwowego o gramaturze 57 g/m2 (+/- 1 g/m2)?  Pozostałe wymagania zgodne z SWZ. Odpowiedź: Zamawiający dopuści. Zamawiający popełnił omyłkę pisarską (+/- 1 cm), a winno być jak słusznie zauważył Oferent (+/- 1g/m2).</w:t>
            </w:r>
          </w:p>
          <w:p w14:paraId="058D397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15B416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1</w:t>
            </w:r>
          </w:p>
          <w:p w14:paraId="22410EF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Czy Zamawiający wydzieli z pakietu 1 poz. 1 do osobnego pakietu? Wyrażenie zgody na powyższe rozwiązanie pozwoli innym firmom, specjalizującym się w danym asortymencie, na złożenie konkurencyjnej oferty, a tym samym umożliwi Zamawiającemu na osiągnięcie oszczędności i wymiernych korzyści finansowych.? Odpowiedź: Zamawiający nie wydzieli.</w:t>
            </w:r>
          </w:p>
          <w:p w14:paraId="2859BB04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C7C37DD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2</w:t>
            </w:r>
          </w:p>
          <w:p w14:paraId="2AE757F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Czy Zamawiający dopuści przykrycie na pacjenta i podkład pod pacjenta pakowane osobno? Pozostałe wymagania zgodne z SWZ. Odpowiedź: Zamawiający dopuści.</w:t>
            </w:r>
          </w:p>
          <w:p w14:paraId="616C1980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F904F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2 dotyczy: składowa zestawu - podkład pod pacjenta</w:t>
            </w:r>
          </w:p>
          <w:p w14:paraId="3088E5EF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Czy Zamawiający dopuści podkład pod pacjenta w kolorze białym w rozmiarze 100 cm x 220 cm, strefa absorpcyjna min. 50 cm x 180 cm, absorpcja min. 3000 ml? Skład: oddychająca włóknina (spód), oddychająca folia PE (polietylen), bibułka, SAP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Superabrorbent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+ pulpa celulozowa, warstwa wierzchnia hydrofilowa włóknina oddychająca. Podkład przepuszczający powietrze, jednorazowy, do ochrony łóżek i kozetek. Nadaje się do użycia w ambulansach, oddziałach ratunkowych, oddziałach intensywnej terapii i salach operacyjnych. Dolna warstwa przepuszczająca powietrze zmniejsza ryzyko podrażnienia skóry i pomaga regulować temperaturę ciała. Podkład mocny, nośność do 150 kg. Zawiera zarówno pulpę celulozową, jak i polimer SAP, który zatrzymuje ciecz jeszcze szybciej i utrzymuje powierzchnię w suchości, zapewniając wygodę. Zastosowane rozwiązania minimalizują nieprzyjemne zapachy. Ponadto podkład ma uszczelnione krawędzie (margines uszczelniający min. 5 cm), aby zapewnić optymalną ochronę przed przeciekaniem, a pokryta miękką włókniną powierzchnia zwiększa komfort użytkownika. </w:t>
            </w:r>
          </w:p>
          <w:p w14:paraId="52CE0C0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Składowa zestawu: przykrycie pacjenta zgodna z SWZ. </w:t>
            </w:r>
          </w:p>
          <w:p w14:paraId="771CFE45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Pozostałe zgodne z SWZ. Odpowiedź: Zamawiający nie dopuści. Oferowana szerokość strefy absorpcyjnej jest za wąska ( 50cm ) w stosunku do wymaganej (85 cm).</w:t>
            </w:r>
          </w:p>
          <w:p w14:paraId="57F91AE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261F78E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Dotyczy Pakiet nr 1, poz. 2 dotyczy: składowa zestawu - podkład pod pacjenta</w:t>
            </w:r>
          </w:p>
          <w:p w14:paraId="1436244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Czy Zamawiający dopuści podkład pod pacjenta jednorazowego użytku, rozmiar 100 cm x 225 cm (wkład chłonny 50 x 190cm), wkład chłonny pikowany z dodatkiem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superabsorbentu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SAP, złożony z 5 warstw: biała włóknina (18g/m2), dwuwarstwowa, </w:t>
            </w:r>
            <w:r w:rsidRPr="00C061E3">
              <w:rPr>
                <w:rFonts w:ascii="Arial" w:hAnsi="Arial" w:cs="Arial"/>
                <w:sz w:val="24"/>
                <w:szCs w:val="24"/>
              </w:rPr>
              <w:lastRenderedPageBreak/>
              <w:t xml:space="preserve">oddychająca, 100%, celuloza (13g/m2), pulpa celulozowa (84g/szt.),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superabsorbent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SAP (30g/szt.), antypoślizgowa folia PE w kolorze niebieskim (37g/m2),  kolor: wkład chłonny - biały, laminat - niebieski, chłonność 4130ml, Produkt stosowany bezpośrednio w celu zabezpieczenia i ochrony pacjenta przed zanieczyszczeniami i zakażeniami Pochłania płyny i ogranicza przykre zapachy?</w:t>
            </w:r>
          </w:p>
          <w:p w14:paraId="340F793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Składowa zestawu: przykrycie pacjenta zgodna z SWZ. </w:t>
            </w:r>
          </w:p>
          <w:p w14:paraId="1D1B70C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Pozostałe zgodne z SWZ. Odpowiedź: Zamawiający nie dopuści. Oferowana szerokość strefy absorpcyjnej jest za wąska (50cm) w stosunku do wymaganej (85 cm).</w:t>
            </w:r>
          </w:p>
          <w:p w14:paraId="533C91A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34B51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Pytanie dotyczące treści zapisów umowy: </w:t>
            </w:r>
          </w:p>
          <w:p w14:paraId="0878247E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W postanowieniach umowy zawarto zapis odnośnie kary za rozwiązanie/odstąpienie od umowy, która jest liczona od wartości całkowitej umowy. Zwracamy się z prośbą do Zamawiającego o zmianę zapisów treści umowy na zapis, aby kara była naliczana od wartości niezrealizowanej części umowy. Jest to praktyka powszechnie stosowana w placówkach służby zdrowia. Zastosowanie pierwotnych postanowień umowy grozi przeniesieniem całkowitego ryzyka gospodarczego wyłącznie na Wykonawcę, co jest sprzeczne z orzecznictwem, które zobowiązuje Zamawiającego nie tylko do uwzględniania swojego interesu, a także interesów Wykonawcy. Odpowiedź: Zgodnie z wzorem umowy.</w:t>
            </w:r>
          </w:p>
          <w:p w14:paraId="5BA401C4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E250A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Pytanie dotyczące treści zapisów umowy: </w:t>
            </w:r>
          </w:p>
          <w:p w14:paraId="5515CD6E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Czy Zamawiający dopuszcza możliwość zmiany zapisu dotyczącego terminu dokonania zapłaty wynagrodzenia należnego Wykonawcy na zapis: "Za dzień zapłaty uznaje się dzień uznania rachunku bankowego Wykonawcy"? Doktryna oraz judykatura przyjmują stanowisko, zgodnie z którym za dzień spełnienia świadczenia pieniężnego uznaje się dzień uznania rachunku bankowego wierzyciela (Wykonawcy). Powyższe wynika również z brzmienia art. 454 § 2 k.c. zgodnie z którym miejscem spełnienia świadczenia, jest miejsce siedziby przedsiębiorstwa wierzyciela. W związku z tym dopiero uzyskanie środków na rachunku wierzyciela może być uznane za spełnienie świadczenia, jako realne rozliczenie zobowiązania. Przyjęcie dnia obciążenia rachunku Zamawiającego jako dnia zapłaty prowadzi do sytuacji, w której Wykonawca nie otrzymawszy środków w terminie, znajduje się jednocześnie w sytuacji, w której świadczenie uznane jest za spełnione. </w:t>
            </w:r>
          </w:p>
          <w:p w14:paraId="524925E8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Jak stwierdził Sąd Najwyższy w uchwale z dnia 4 stycznia 1995 r., sygn. akt III CZP 164/94, przepis art. 454 k.c. wprawdzie wprost reguluje problematykę miejsca wykonania zobowiązania, jednakże - co nie budzi wątpliwości - dotyczy także chwili spełnienia świadczenia. Skutkiem rozliczenia przeprowadzonego w formie bezgotówkowej jest obciążenie rachunku dłużnika oznaczoną w jego dyspozycji kwotą, a następnie uznanie - tą samą kwotą - rachunku wierzyciela. Ze względu na fakt, że uznanie polega na uczynieniu na rachunku wierzyciela stosownego wpisu po stronie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credit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("ma"), wierzyciel z tą samą chwilą uzyskuje uprawnienie do swobodnego rozporządzania objętymi wpisem środkami pieniężnymi. W efekcie uznanie rachunku wierzyciela realizuje klasyczną konstrukcję zapłaty. Z tą chwilą następuje umorzenie (wygaśnięcie) zobowiązania - stwierdził Sąd Najwyższy w uzasadnieniu uchwały. </w:t>
            </w:r>
          </w:p>
          <w:p w14:paraId="45C73075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Tym samym wnosimy o dokonanie zmiany w treści wzoru umowy, zgodnie z powyższym pytaniem oraz zasadami regulowania zobowiązań wynikającymi z przepisów kodeksu cywilnego. Odpowiedź: Zgodnie z wzorem umowy.</w:t>
            </w:r>
          </w:p>
          <w:p w14:paraId="1E847727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77090B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Pytanie dotyczące treści zapisów umowy: </w:t>
            </w:r>
          </w:p>
          <w:p w14:paraId="42197878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lastRenderedPageBreak/>
              <w:t>Czy Zamawiający potwierdza, iż dostarczenie dokumentacji potwierdzającej zachowanie podczas transportu zalecanych przez producenta warunków temperaturowych i dotyczy tylko tych wyrobów medycznych, których dokumentacja techniczna nakłada obowiązek monitorowania powyższego?</w:t>
            </w:r>
          </w:p>
          <w:p w14:paraId="4A33276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 Zgodnie z § 10 pkt 7 "Rozporządzenia Ministra Zdrowia z dnia 27 października 2022 r. dotyczącego podstawowych warunków prowadzenia aptek" - kontrola warunków transportu powinna uwzględniać zalecenia producenta i specyfikę produktu.  Regulacje nie mogą wprowadzać dodatkowych restrykcji wykraczających poza standardy Unii Europejskiej, określone w rozporządzeniach MDR i IVDR.</w:t>
            </w:r>
          </w:p>
          <w:p w14:paraId="2AAB163D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Natomiast zgodnie z art. 14 ust. 3 Rozporządzenia UE 2017/745 (MDR) i 2017/746 (IVDR):</w:t>
            </w:r>
          </w:p>
          <w:p w14:paraId="7F194F47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Dystrybutorzy zapewniają, aby w czasie, gdy są odpowiedzialni za wyrób, warunki przechowywania lub transportu były zgodne z warunkami określonymi przez producenta.</w:t>
            </w:r>
          </w:p>
          <w:p w14:paraId="61B07DF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Jeśli producent nie określił szczególnych wymagań dotyczących temperatury i wilgotności transportu, nie można nakładać na dystrybutorów dodatkowych obowiązków". Odpowiedź: Zamawiający potwierdza.</w:t>
            </w:r>
          </w:p>
          <w:p w14:paraId="459EB37F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FCC691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Pakiet nr 1, poz. 1</w:t>
            </w:r>
          </w:p>
          <w:p w14:paraId="76C99439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1.</w:t>
            </w:r>
            <w:r w:rsidRPr="00C061E3">
              <w:rPr>
                <w:rFonts w:ascii="Arial" w:hAnsi="Arial" w:cs="Arial"/>
                <w:sz w:val="24"/>
                <w:szCs w:val="24"/>
              </w:rPr>
              <w:tab/>
              <w:t>Prosimy Zamawiającego o dopuszczenie jednorazowej serwety do przenoszenia i repozycjonowania pacjenta, używana również jako okrycie pacjenta. Wykonana z poliestru o gramaturze 80 g/m2 i wytrzymałości do 224 kg (suchy i mokry). Trwały i przyjemny w dotyku materiał poprawia komfort użytkowania. Wymiary 152x198 (+/- 3) cm, kolor biały. Pakowana po 48 szt. w kartonie. Certyfikaty jakościowe dla miejsca produkcji: ISO 13485, ISO 9001 i ISO 14001, wystawione przez jednostki notyfikowane.  Odpowiedź: Zamawiający nie dopuści. Proponowane parametry są zupełnie rozbieżne od wymaganych przez Zamawiającego.</w:t>
            </w:r>
          </w:p>
          <w:p w14:paraId="6FE06869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2.</w:t>
            </w:r>
            <w:r w:rsidRPr="00C061E3">
              <w:rPr>
                <w:rFonts w:ascii="Arial" w:hAnsi="Arial" w:cs="Arial"/>
                <w:sz w:val="24"/>
                <w:szCs w:val="24"/>
              </w:rPr>
              <w:tab/>
              <w:t xml:space="preserve">Prosimy Zamawiającego o dopuszczenie serwety ochronnej na stół operacyjny, przeciwodleżynowej, 5-cio warstwowej, zintegrowanej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wielopunktowo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- brak możliwości tworzenia zagięć i pofałdowań pod pacjentem, samo wygładzająca się. Rdzeń chłonny z wyraźnym pikowanym wzorem ułatwiającym rozprowadzanie wilgoci. Wykonana z włókniny polipropylenowej,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wysokochłonnej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warstwy środkowej z SAP i spodniej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pełnobarierowej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, matowej (niebłyszczącej), teksturowanej folii polietylenowej, zabezpieczającej przed przesuwaniem się i ślizganiem podkładu po powierzchni. Certyfikaty jakościowe dla miejsca produkcji: ISO 13485, ISO 9001 i ISO 14001, wystawione przez jednostki notyfikowane. </w:t>
            </w:r>
          </w:p>
          <w:p w14:paraId="508F541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Parametry:</w:t>
            </w:r>
          </w:p>
          <w:p w14:paraId="086552D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chłonność 4500-4900 ml/m2 i wskaźnik chłonności min. 2000 % potwierdzone kartą producenta (potwierdzone badaniami wykonanymi w laboratorium akredytowanym zgodnie z ISO 9073-6),</w:t>
            </w:r>
          </w:p>
          <w:p w14:paraId="506F924D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gramatura podstawowa: 240 g/m2 (+/- 10 g/m2),</w:t>
            </w:r>
          </w:p>
          <w:p w14:paraId="07F50107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wymiary: 102 x 230 cm, rdzeń chłonny otoczony z każdej strony dodatkowymi marginesami nieprzezroczystego laminatu,</w:t>
            </w:r>
          </w:p>
          <w:p w14:paraId="52F29E06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odprowadzanie wilgoci min. 65 mm w czasie 1 minuty (test potwierdzony badaniami wykonanymi w laboratorium akredytowanym zgodnie z ISO 9073-6),</w:t>
            </w:r>
          </w:p>
          <w:p w14:paraId="1DDDDAE4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pakowana po 20 sztuk na karton Odpowiedź: Zamawiający nie dopuści. Proponowane parametry są zupełnie rozbieżne od wymaganych przez Zamawiającego.</w:t>
            </w:r>
          </w:p>
          <w:p w14:paraId="77613A7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C061E3">
              <w:rPr>
                <w:rFonts w:ascii="Arial" w:hAnsi="Arial" w:cs="Arial"/>
                <w:sz w:val="24"/>
                <w:szCs w:val="24"/>
              </w:rPr>
              <w:tab/>
              <w:t xml:space="preserve">Prosimy Zamawiającego o dopuszczenie serwety ochronnej na stół operacyjny, przeciwodleżynowej, 5-cio warstwowej, zintegrowanej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wielopunktowo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- brak możliwości tworzenia zagięć i pofałdowań pod pacjentem,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samowygładzająca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się. Rdzeń chłonny </w:t>
            </w:r>
            <w:r w:rsidRPr="00C061E3">
              <w:rPr>
                <w:rFonts w:ascii="Arial" w:hAnsi="Arial" w:cs="Arial"/>
                <w:sz w:val="24"/>
                <w:szCs w:val="24"/>
              </w:rPr>
              <w:lastRenderedPageBreak/>
              <w:t xml:space="preserve">z wyraźnym pikowanym wzorem ułatwiającym rozprowadzanie wilgoci. Wykonana z włókniny polipropylenowej,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wysokochłonnej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warstwy środkowej z SAP i spodniej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pełnobarierowej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foli polietylenowej, zabezpieczającej przed przesuwaniem się i ślizganiem podkładu po powierzchni. Wszystkie krawędzie uszczelnione. Certyfikaty jakościowe dla miejsca produkcji: ISO 13485, ISO 9001 i ISO 14001, wystawione przez jednostki notyfikowane.</w:t>
            </w:r>
          </w:p>
          <w:p w14:paraId="2F6AEE6E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Parametry:</w:t>
            </w:r>
          </w:p>
          <w:p w14:paraId="60815610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chłonność 3750 - 4000 ml/m2 i wskaźnik chłonności min. 2490 % potwierdzone kartą producenta (potwierdzone badaniami wykonanymi w laboratorium akredytowanym zgodnie z ISO 9073-6),</w:t>
            </w:r>
          </w:p>
          <w:p w14:paraId="1FE33808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- gramatura podstawowa: 150 g/m2 (+/- 10 g/m2), </w:t>
            </w:r>
          </w:p>
          <w:p w14:paraId="6EE4A79A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wymiary: 102 x 230 cm, rdzeń chłonny otoczony z każdej strony dodatkowymi marginesami nieprzezroczystego laminatu,</w:t>
            </w:r>
          </w:p>
          <w:p w14:paraId="4BC708D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odprowadzanie wilgoci min. 35 mm w czasie 1 minuty (test potwierdzony badaniami wykonanymi w laboratorium akredytowanym zgodnie z ISO 9073-6),</w:t>
            </w:r>
          </w:p>
          <w:p w14:paraId="20E0F9DB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pakowana po 20 sztuk/karton Odpowiedź: Zamawiający nie dopuści. Proponowane parametry są zupełnie rozbieżne od wymaganych przez Zamawiającego.</w:t>
            </w:r>
          </w:p>
          <w:p w14:paraId="6F2C5624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9B8E26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Pakiet nr 1, poz. 2</w:t>
            </w:r>
          </w:p>
          <w:p w14:paraId="349A7942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Prosimy Zmawiającego o dopuszczenie serwety ochronnej na stół operacyjny, przeciwodleżynowej, 5-cio warstwowej, zintegrowanej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wielopunktowo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- brak możliwości tworzenia zagięć i pofałdowań pod pacjentem,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samowygładzająca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się. Rdzeń chłonny z wyraźnym pikowanym wzorem ułatwiającym rozprowadzanie wilgoci. Wykonana z włókniny polipropylenowej,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wysokochłonnej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 xml:space="preserve"> warstwy środkowej z SAP i spodniej </w:t>
            </w:r>
            <w:proofErr w:type="spellStart"/>
            <w:r w:rsidRPr="00C061E3">
              <w:rPr>
                <w:rFonts w:ascii="Arial" w:hAnsi="Arial" w:cs="Arial"/>
                <w:sz w:val="24"/>
                <w:szCs w:val="24"/>
              </w:rPr>
              <w:t>pełnobarierowej</w:t>
            </w:r>
            <w:proofErr w:type="spellEnd"/>
            <w:r w:rsidRPr="00C061E3">
              <w:rPr>
                <w:rFonts w:ascii="Arial" w:hAnsi="Arial" w:cs="Arial"/>
                <w:sz w:val="24"/>
                <w:szCs w:val="24"/>
              </w:rPr>
              <w:t>, matowej (niebłyszczącej), teksturowanej folii polietylenowej, zabezpieczającej przed przesuwaniem się i ślizganiem podkładu po powierzchni. Certyfikaty jakościowe dla miejsca produkcji: ISO 13485, ISO 9001 i ISO 14001, wystawione przez jednostki notyfikowane.</w:t>
            </w:r>
          </w:p>
          <w:p w14:paraId="70E17BB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Parametry:</w:t>
            </w:r>
          </w:p>
          <w:p w14:paraId="2E46AF1C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chłonność 4500-4900 ml/m2 i wskaźnik chłonności min. 2000 % potwierdzone kartą producenta (potwierdzone badaniami wykonanymi w laboratorium akredytowanym zgodnie z ISO 9073-6),</w:t>
            </w:r>
          </w:p>
          <w:p w14:paraId="09077DD3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gramatura podstawowa: 240 g/m2 (+/- 10 g/m2),</w:t>
            </w:r>
          </w:p>
          <w:p w14:paraId="3E48AD0F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wymiary: 102 x 230 cm, rdzeń chłonny otoczony z każdej strony dodatkowymi marginesami nieprzezroczystego laminatu,</w:t>
            </w:r>
          </w:p>
          <w:p w14:paraId="4C49F2A1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odprowadzanie wilgoci min. 65 mm w czasie 1 minuty (test potwierdzony badaniami wykonanymi w laboratorium akredytowanym zgodnie z ISO 9073-6),</w:t>
            </w:r>
          </w:p>
          <w:p w14:paraId="3B983F9A" w14:textId="77777777" w:rsidR="00C061E3" w:rsidRPr="00C061E3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 xml:space="preserve">- w zestawie z miękką, jednorazową, poliestrową serwetą do repozycjonowania pacjenta w rozmiarze 102 x 152 cm (+/- 1 cm) o gramaturze min. 80 g/m2, udźwig min. 200 kg </w:t>
            </w:r>
          </w:p>
          <w:p w14:paraId="342858B0" w14:textId="7D8C8B09" w:rsidR="00C061E3" w:rsidRPr="004E4B64" w:rsidRDefault="00C061E3" w:rsidP="00E4759B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061E3">
              <w:rPr>
                <w:rFonts w:ascii="Arial" w:hAnsi="Arial" w:cs="Arial"/>
                <w:sz w:val="24"/>
                <w:szCs w:val="24"/>
              </w:rPr>
              <w:t>- 1 zestaw/najmniejsze opakowanie jednostkowe, 24 zestawy w kartonie. Odpowiedź: Zamawiający dopuści, pod warunkiem, że warstwa chłonna serwety p. A ma szerokość zgodną z SWZ.</w:t>
            </w:r>
          </w:p>
        </w:tc>
      </w:tr>
    </w:tbl>
    <w:p w14:paraId="5767256F" w14:textId="77777777" w:rsidR="006D4AB3" w:rsidRDefault="006D4AB3" w:rsidP="00E475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lastRenderedPageBreak/>
        <w:t>Zamawiający</w:t>
      </w:r>
    </w:p>
    <w:p w14:paraId="10BCB372" w14:textId="45912C99" w:rsidR="00E4759B" w:rsidRPr="00567724" w:rsidRDefault="00E4759B" w:rsidP="00E4759B">
      <w:pPr>
        <w:pStyle w:val="Tekstpodstawowy"/>
        <w:jc w:val="right"/>
        <w:rPr>
          <w:rFonts w:ascii="Arial" w:hAnsi="Arial" w:cs="Arial"/>
          <w:i/>
          <w:sz w:val="20"/>
        </w:rPr>
      </w:pPr>
      <w:r w:rsidRPr="00567724">
        <w:rPr>
          <w:rFonts w:ascii="Arial" w:hAnsi="Arial" w:cs="Arial"/>
          <w:sz w:val="20"/>
        </w:rPr>
        <w:t xml:space="preserve">  </w:t>
      </w:r>
      <w:r w:rsidRPr="00567724">
        <w:rPr>
          <w:rFonts w:ascii="Arial" w:hAnsi="Arial" w:cs="Arial"/>
          <w:i/>
          <w:sz w:val="20"/>
        </w:rPr>
        <w:t xml:space="preserve">/-/ Z-ca Dyrektora ds. </w:t>
      </w:r>
      <w:r>
        <w:rPr>
          <w:rFonts w:ascii="Arial" w:hAnsi="Arial" w:cs="Arial"/>
          <w:i/>
          <w:sz w:val="20"/>
        </w:rPr>
        <w:t>Medycznych</w:t>
      </w:r>
    </w:p>
    <w:p w14:paraId="323CE0D3" w14:textId="17B27011" w:rsidR="00E4759B" w:rsidRPr="00567724" w:rsidRDefault="00E4759B" w:rsidP="00E4759B">
      <w:pPr>
        <w:pStyle w:val="Tekstpodstawowy"/>
        <w:jc w:val="right"/>
        <w:rPr>
          <w:rFonts w:ascii="Arial" w:hAnsi="Arial" w:cs="Arial"/>
          <w:i/>
          <w:sz w:val="20"/>
        </w:rPr>
      </w:pPr>
      <w:r>
        <w:rPr>
          <w:rFonts w:ascii="Arial" w:hAnsi="Arial" w:cs="Arial"/>
          <w:i/>
          <w:sz w:val="20"/>
        </w:rPr>
        <w:t xml:space="preserve">Ilona </w:t>
      </w:r>
      <w:r w:rsidR="004B4F4F">
        <w:rPr>
          <w:rFonts w:ascii="Arial" w:hAnsi="Arial" w:cs="Arial"/>
          <w:i/>
          <w:sz w:val="20"/>
        </w:rPr>
        <w:t>Idasiak-Piechocka</w:t>
      </w:r>
    </w:p>
    <w:p w14:paraId="22617B1C" w14:textId="77777777" w:rsidR="00E4759B" w:rsidRPr="00E935D6" w:rsidRDefault="00E4759B" w:rsidP="00E4759B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660F73C" w14:textId="77777777" w:rsidR="00E4759B" w:rsidRPr="00E935D6" w:rsidRDefault="00E4759B">
      <w:pPr>
        <w:ind w:left="567"/>
        <w:jc w:val="right"/>
        <w:rPr>
          <w:sz w:val="24"/>
          <w:szCs w:val="24"/>
        </w:rPr>
      </w:pPr>
    </w:p>
    <w:sectPr w:rsidR="00E4759B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7942EA" w14:textId="77777777" w:rsidR="00B37F65" w:rsidRDefault="00B37F65">
      <w:r>
        <w:separator/>
      </w:r>
    </w:p>
  </w:endnote>
  <w:endnote w:type="continuationSeparator" w:id="0">
    <w:p w14:paraId="79AB5F44" w14:textId="77777777" w:rsidR="00B37F65" w:rsidRDefault="00B37F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6A752D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1E310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811C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84FCD2D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258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E486DA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BA45245" w14:textId="77777777" w:rsidR="006D4AB3" w:rsidRDefault="006D4AB3">
    <w:pPr>
      <w:pStyle w:val="Stopka"/>
      <w:tabs>
        <w:tab w:val="clear" w:pos="4536"/>
        <w:tab w:val="left" w:pos="6237"/>
      </w:tabs>
    </w:pPr>
  </w:p>
  <w:p w14:paraId="69F52BC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0B305A" w14:textId="77777777" w:rsidR="00B37F65" w:rsidRDefault="00B37F65">
      <w:r>
        <w:separator/>
      </w:r>
    </w:p>
  </w:footnote>
  <w:footnote w:type="continuationSeparator" w:id="0">
    <w:p w14:paraId="4A8559F3" w14:textId="77777777" w:rsidR="00B37F65" w:rsidRDefault="00B37F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48883" w14:textId="77777777" w:rsidR="00C061E3" w:rsidRDefault="00C061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716EB5" w14:textId="77777777" w:rsidR="00C061E3" w:rsidRDefault="00C061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1414E" w14:textId="77777777" w:rsidR="00C061E3" w:rsidRDefault="00C061E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10697177">
    <w:abstractNumId w:val="3"/>
  </w:num>
  <w:num w:numId="2" w16cid:durableId="1384598646">
    <w:abstractNumId w:val="6"/>
  </w:num>
  <w:num w:numId="3" w16cid:durableId="116798879">
    <w:abstractNumId w:val="2"/>
  </w:num>
  <w:num w:numId="4" w16cid:durableId="1435634612">
    <w:abstractNumId w:val="5"/>
  </w:num>
  <w:num w:numId="5" w16cid:durableId="998581199">
    <w:abstractNumId w:val="0"/>
  </w:num>
  <w:num w:numId="6" w16cid:durableId="1911958393">
    <w:abstractNumId w:val="1"/>
  </w:num>
  <w:num w:numId="7" w16cid:durableId="685014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535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B4F4F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A905AC"/>
    <w:rsid w:val="00B37F65"/>
    <w:rsid w:val="00BA6584"/>
    <w:rsid w:val="00BE7BFD"/>
    <w:rsid w:val="00C061E3"/>
    <w:rsid w:val="00C370F2"/>
    <w:rsid w:val="00C44EEC"/>
    <w:rsid w:val="00C46732"/>
    <w:rsid w:val="00C5530A"/>
    <w:rsid w:val="00D22FFA"/>
    <w:rsid w:val="00D8461B"/>
    <w:rsid w:val="00D915F2"/>
    <w:rsid w:val="00DF32E8"/>
    <w:rsid w:val="00DF53CA"/>
    <w:rsid w:val="00E21B49"/>
    <w:rsid w:val="00E2789F"/>
    <w:rsid w:val="00E4759B"/>
    <w:rsid w:val="00E72428"/>
    <w:rsid w:val="00E74BC3"/>
    <w:rsid w:val="00E935D6"/>
    <w:rsid w:val="00EA14B3"/>
    <w:rsid w:val="00EA416E"/>
    <w:rsid w:val="00F70535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3F12B6"/>
  <w15:chartTrackingRefBased/>
  <w15:docId w15:val="{39ED7606-F98C-4855-8F5F-2EDE8BFD6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E4759B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2117</Words>
  <Characters>12705</Characters>
  <Application>Microsoft Office Word</Application>
  <DocSecurity>0</DocSecurity>
  <Lines>105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2026-02-16T09:11:00Z</cp:lastPrinted>
  <dcterms:created xsi:type="dcterms:W3CDTF">2026-02-16T09:12:00Z</dcterms:created>
  <dcterms:modified xsi:type="dcterms:W3CDTF">2026-02-16T09:12:00Z</dcterms:modified>
</cp:coreProperties>
</file>