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EED29" w14:textId="77777777" w:rsidR="00CB1F15" w:rsidRPr="00CB1F15" w:rsidRDefault="00CB1F15" w:rsidP="00CB1F1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109047-2026 - Procedura konkurencyjna</w:t>
      </w:r>
    </w:p>
    <w:p w14:paraId="182D000F" w14:textId="77777777" w:rsidR="00CB1F15" w:rsidRPr="00CB1F15" w:rsidRDefault="00CB1F15" w:rsidP="00CB1F1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Polska – Jednorazowe,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 – Dostawy sukcesywne zestawów do wspomagania pracy lewej komory serca u pacjentów podczas zabiegów PCI wysokiego ryzyka na okres 12 miesięcy</w:t>
      </w:r>
    </w:p>
    <w:p w14:paraId="116801D7" w14:textId="77777777" w:rsidR="00CB1F15" w:rsidRPr="00CB1F15" w:rsidRDefault="00CB1F15" w:rsidP="00CB1F15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OJ S 32/2026 16/02/2026</w:t>
      </w:r>
    </w:p>
    <w:p w14:paraId="5E1B460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o zamówieniu lub ogłoszenie o koncesji – tryb standardowy</w:t>
      </w:r>
    </w:p>
    <w:p w14:paraId="575A923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48A77A9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5C16679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291E8C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129CB02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01DA98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6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2CFE253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2CE79D0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4C7F154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425FACB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6B72C31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2CB37A4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Dostawy sukcesywne zestawów do wspomagania pracy lewej komory serca u pacjentów podczas zabiegów PCI wysokiego ryzyka na okres 12 miesięcy</w:t>
      </w:r>
    </w:p>
    <w:p w14:paraId="7C6630A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77649DF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2ea6569c-2c98-425f-84c6-ed31b43d494a</w:t>
      </w:r>
    </w:p>
    <w:p w14:paraId="6A0C711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20/2026</w:t>
      </w:r>
    </w:p>
    <w:p w14:paraId="7A5B0B9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11D7AAD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Procedura jest przyspieszona: tak</w:t>
      </w:r>
    </w:p>
    <w:p w14:paraId="19C0F88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Uzasadnienie procedury przyspieszonej: Art. 138 ust. 2 pkt. 2 Pzp </w:t>
      </w: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softHyphen/>
        <w:t xml:space="preserve"> pilna potrzeba zakupu, ponowienie uprzednio prowadzonych postępowań, które zostały unieważnione.</w:t>
      </w:r>
    </w:p>
    <w:p w14:paraId="1B0C374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3EB0800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142C1DA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B796CD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7C51A5F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2.1.2.</w:t>
      </w:r>
    </w:p>
    <w:p w14:paraId="635996C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7EFA2F3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EF2A33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1D6CDC4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4BABC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160A6B5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28C4549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EEE5EA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Dokumenty wymagane na etapie składania ofert/wniosków: Oświadczenie, o którym mowa w art. 125 ust. 1 ustawy Pzp – Jednolity europejski dokument zamówienia; Oświadczenie wykonawcy dotyczące odrębnych przesłanek wykluczenia (procedura pełna), Zobowiązanie podmiotu udostępniającego zasoby; Formularz oferty; Formularz cenowy; Materiały informacyjne w postaci katalogów, folderów lub opisów przedmiotu zamówienia, Oświadczenie o posiadaniu wymaganych przepisami prawa dopuszczeń do obrotu (zgłoszenie, powiadomienie) na oferowany asortyment; Dokumenty składane na wezwanie zamawiającego: Wykaz dostaw, Oświadczenie wykonawcy w sprawie grupy kapitałowej; Zaświadczenie właściwego naczelnika urzędu skarbowego; Zaświadczenie z ZUS lub KRUS; Odpis lub informacja z KRS lub CEIDG; Oświadczenie wykonawcy o aktualności informacji zawartych w oświadczeniu wstępnym; Dokumenty podmiotów zagranicznych: Dokument potwierdzający niezaleganie z opłacaniem podatków, opłat lub składek na ubezpieczenie społeczne lub zdrowotne; Dokument potwierdzający, że nie otwarto likwidacji wykonawcy; Zamawiający przewiduje wezwanie do złożenia lub uzupełnienia przedmiotowych środków dowodowych zgodnie z treścią art. 107 ust. 2 ustawy Pzp. O udzielenie zamówienia mogą ubiegać </w:t>
      </w: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14:paraId="69B2FEA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 </w:t>
      </w:r>
    </w:p>
    <w:p w14:paraId="12E0CE9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56198D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C308BB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</w:p>
    <w:p w14:paraId="0D6C42F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Powody wykluczenia źródła: Uwaga</w:t>
      </w:r>
    </w:p>
    <w:p w14:paraId="0D510D7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Aktywami zarządza likwidator: art. 109 ust. 1 pkt. 4</w:t>
      </w:r>
    </w:p>
    <w:p w14:paraId="797F4A8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Bezpośrednie lub pośrednie zaangażowanie w przygotowanie przedmiotowego postępowania o udzielenie zamówienia: art. 108 ust. 1 pkt. 6</w:t>
      </w:r>
    </w:p>
    <w:p w14:paraId="235A056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Działalność gospodarcza jest zawieszona: art. 109 ust. 1 pkt. 4</w:t>
      </w:r>
    </w:p>
    <w:p w14:paraId="4F8D8E9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Inna sytuacja podobna do upadłości wynikająca z prawa krajowego: art. 109 ust. 1 pkt. 4</w:t>
      </w:r>
    </w:p>
    <w:p w14:paraId="04A418B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Niewypłacalność: art. 109 ust. 1 pkt. 4</w:t>
      </w:r>
    </w:p>
    <w:p w14:paraId="2654E08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opłacenia składek na ubezpieczenie społeczne: art. 108 ust. 1 pkt. 3</w:t>
      </w:r>
    </w:p>
    <w:p w14:paraId="213554E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Naruszenie obowiązku płatności podatków: art. 108 ust. 1 pkt. 3</w:t>
      </w:r>
    </w:p>
    <w:p w14:paraId="160824C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 o charakterze wyłącznie krajowym: art. 108 ust. 1 pkt. 4 Informacja z Krajowego Rejestru Karnego w zakresie art. 108 ust. 1 pkt. 1 i 2 ustawy Pzp. Podstawy wykluczenia wskazane w art. 7 ust. 1 ustawy z dnia 13 kwietnia 2022 r. o szczególnych rozwiązaniach w zakresie przeciwdziałania wspieraniu agresji na Ukrainę oraz służących ochronie bezpieczeństwa narodowego.</w:t>
      </w:r>
    </w:p>
    <w:p w14:paraId="5177928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Porozumienia z innymi wykonawcami mające na celu zakłócenie konkurencji: art. 108 ust. 1 pkt. 5</w:t>
      </w:r>
    </w:p>
    <w:p w14:paraId="733C18C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Układ z wierzycielami: art. 109 ust. 1 pkt. 4</w:t>
      </w:r>
    </w:p>
    <w:p w14:paraId="638F9A2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Upadłość: art. 109 ust. 1 pkt. 4</w:t>
      </w:r>
    </w:p>
    <w:p w14:paraId="1719C0C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20580B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3828A27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zamówienia: LOT-0001</w:t>
      </w:r>
    </w:p>
    <w:p w14:paraId="09ED4D8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Tytuł: Zestawy do wspomagania pracy lewej komory serca u pacjentów podczas zabiegów PCI wysokiego ryzyka na okres 12 miesięcy</w:t>
      </w:r>
    </w:p>
    <w:p w14:paraId="6FC3100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zgodnie z formularzem cenowym i zapisami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swz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.</w:t>
      </w:r>
    </w:p>
    <w:p w14:paraId="294A9EE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2EBFE7E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133061C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42241FD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7EE5F09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): 33141000 Jednorazowe,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niechemiczne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artykuły medyczne i hematologiczne</w:t>
      </w:r>
    </w:p>
    <w:p w14:paraId="564CA6C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5.1.2.</w:t>
      </w:r>
    </w:p>
    <w:p w14:paraId="55A60D5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 realizacji</w:t>
      </w:r>
    </w:p>
    <w:p w14:paraId="5E5B54B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70CCF51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01E2AD8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027BC6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F749E2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77E3448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64CA035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12 Miesiące</w:t>
      </w:r>
    </w:p>
    <w:p w14:paraId="34EF98F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66CD276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676E9B0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</w:t>
      </w:r>
    </w:p>
    <w:p w14:paraId="193E1CE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Udział nie jest zastrzeżony.</w:t>
      </w:r>
    </w:p>
    <w:p w14:paraId="7EE6CC8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77428E9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(GPA): nie</w:t>
      </w:r>
    </w:p>
    <w:p w14:paraId="4F64645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Przedmiotowe zamówienie jest odpowiednie również dla małych i średnich przedsiębiorstw (MŚP): tak</w:t>
      </w:r>
    </w:p>
    <w:p w14:paraId="596AF7D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77B395F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3F8D769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Źródła kryteriów wyboru: Dokumenty zamówienia</w:t>
      </w:r>
    </w:p>
    <w:p w14:paraId="310BE99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10DBC3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76FA932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ECEF3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6DA261C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Cena</w:t>
      </w:r>
    </w:p>
    <w:p w14:paraId="098EFE9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cena najniższa ze wszystkich ofert</w:t>
      </w:r>
    </w:p>
    <w:p w14:paraId="4DC9D04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248236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60,00</w:t>
      </w:r>
    </w:p>
    <w:p w14:paraId="34844BE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5260394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50813AC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08B86E5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najkrótszy</w:t>
      </w:r>
    </w:p>
    <w:p w14:paraId="266D99C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55B06A0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25,00</w:t>
      </w:r>
    </w:p>
    <w:p w14:paraId="6BDFDA5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Kryterium: </w:t>
      </w:r>
    </w:p>
    <w:p w14:paraId="05C73E7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47B49B4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Nazwa: Termin płatności</w:t>
      </w:r>
    </w:p>
    <w:p w14:paraId="76B594C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Opis: Termin płatności - najdłuższy</w:t>
      </w:r>
    </w:p>
    <w:p w14:paraId="2F1AB4D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Kategoria kryterium udzielenia zamówienia waga: Waga (wartość procentowa, dokładna)</w:t>
      </w:r>
    </w:p>
    <w:p w14:paraId="2E99A99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Kryterium udzielenia - Liczba: 15,00</w:t>
      </w:r>
    </w:p>
    <w:p w14:paraId="580C439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698934F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FC0F9E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393F485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7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4BC7FBE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5217271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D430E8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 </w:t>
      </w:r>
    </w:p>
    <w:p w14:paraId="7090DF8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00DB33E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8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7461F44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CE6760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604AF58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36BA608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27/02/2026 08:00:00 (UTC+01:00) czas środkowoeuropejski, czas zachodnioeuropejski letni</w:t>
      </w:r>
    </w:p>
    <w:p w14:paraId="27154FF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Okres, przez który oferta musi pozostać ważna: 90 Dni</w:t>
      </w:r>
    </w:p>
    <w:p w14:paraId="77A9906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 </w:t>
      </w:r>
    </w:p>
    <w:p w14:paraId="3F1642F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27/02/2026 08:30:00 (UTC+01:00) czas środkowoeuropejski, czas zachodnioeuropejski letni</w:t>
      </w:r>
    </w:p>
    <w:p w14:paraId="541405B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Miejsce: </w:t>
      </w:r>
      <w:hyperlink r:id="rId9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1F2C7E0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 </w:t>
      </w:r>
    </w:p>
    <w:p w14:paraId="08EC652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Wykonanie zamówienia musi odbywać się w ramach programów zatrudnienia chronionego: Nie</w:t>
      </w:r>
    </w:p>
    <w:p w14:paraId="6FF17E5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1E89463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elektroniczne: tak</w:t>
      </w:r>
    </w:p>
    <w:p w14:paraId="1356BD9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płatności elektroniczne: tak</w:t>
      </w:r>
    </w:p>
    <w:p w14:paraId="01B4F48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16156CE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4EFFCAE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Umowa ramowa: </w:t>
      </w:r>
    </w:p>
    <w:p w14:paraId="46183A3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umowy ramowej</w:t>
      </w:r>
    </w:p>
    <w:p w14:paraId="2A7D32B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</w:t>
      </w:r>
    </w:p>
    <w:p w14:paraId="200F197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Brak dynamicznego systemu zakupów</w:t>
      </w:r>
    </w:p>
    <w:p w14:paraId="7E51415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Aukcja elektroniczna: nie</w:t>
      </w:r>
    </w:p>
    <w:p w14:paraId="0E44DFF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0351625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436B2B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21731424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56D864A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4699F74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1BB0BA8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65F1D04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8CFDC7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294A265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1CAE82C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6DDC8AB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40C3BBE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</w:t>
      </w:r>
    </w:p>
    <w:p w14:paraId="300C196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5B38779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2051960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74F57C2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8A80C4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0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31EBD73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kornowska4835@10wsk.mil.pl</w:t>
        </w:r>
      </w:hyperlink>
    </w:p>
    <w:p w14:paraId="3FACF1A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+48 261 417 364</w:t>
      </w:r>
    </w:p>
    <w:p w14:paraId="68BFCA9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0CB054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7963E2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49DB0AF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7340E41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1B7C682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ORG-0002</w:t>
      </w:r>
    </w:p>
    <w:p w14:paraId="0EB499C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417C399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55B9341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</w:t>
      </w:r>
    </w:p>
    <w:p w14:paraId="3D10039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2A676CC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5CC5313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13FCD3E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55B34F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770BC9F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1A4FC13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0B4A66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2D60E9E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79FA220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0BF7529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2A288BB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708537B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41B806F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4BF0A36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69B86BB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630872F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630404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</w:t>
      </w:r>
    </w:p>
    <w:p w14:paraId="141DF07B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B9F639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0CBD8270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5D41B49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3CB9DDA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4178E62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8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5622062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7253423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9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7F20F4D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20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E5E2F2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6E44C569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F5634D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09362B4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ORG-0000</w:t>
      </w:r>
    </w:p>
    <w:p w14:paraId="7E27BA8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Oficjalna nazwa: Publications Office of the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European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Union</w:t>
      </w:r>
    </w:p>
    <w:p w14:paraId="552AD40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PUBL</w:t>
      </w:r>
    </w:p>
    <w:p w14:paraId="671529C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</w:p>
    <w:p w14:paraId="31F055D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Kod pocztowy: 2417</w:t>
      </w:r>
    </w:p>
    <w:p w14:paraId="6C1ADD51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Luxembourg</w:t>
      </w:r>
      <w:proofErr w:type="spellEnd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 (LU000)</w:t>
      </w:r>
    </w:p>
    <w:p w14:paraId="5DA96B0E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Kraj: Luksemburg</w:t>
      </w:r>
    </w:p>
    <w:p w14:paraId="477CD10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21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ted@publications.europa.eu</w:t>
        </w:r>
      </w:hyperlink>
    </w:p>
    <w:p w14:paraId="1A6BC453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Telefon: +352 29291</w:t>
      </w:r>
    </w:p>
    <w:p w14:paraId="33576245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22" w:history="1">
        <w:r w:rsidRPr="00CB1F15">
          <w:rPr>
            <w:rFonts w:ascii="Arial Narrow" w:eastAsia="Times New Roman" w:hAnsi="Arial Narrow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https://op.europa.eu</w:t>
        </w:r>
      </w:hyperlink>
    </w:p>
    <w:p w14:paraId="3A61BAC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organizacji: </w:t>
      </w:r>
    </w:p>
    <w:p w14:paraId="5247F3C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TED </w:t>
      </w:r>
      <w:proofErr w:type="spellStart"/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eSender</w:t>
      </w:r>
      <w:proofErr w:type="spellEnd"/>
    </w:p>
    <w:p w14:paraId="2D5F368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4"/>
          <w:szCs w:val="24"/>
          <w:lang w:eastAsia="pl-PL"/>
          <w14:ligatures w14:val="none"/>
        </w:rPr>
        <w:t>Informacje o ogłoszeniu</w:t>
      </w:r>
    </w:p>
    <w:p w14:paraId="38BC168A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ddac39c5-93b8-41f9-bc2b-3200d4223fbe  -  01</w:t>
      </w:r>
    </w:p>
    <w:p w14:paraId="22B96DC6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3EB4FCE7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Rodzaj ogłoszenia: Ogłoszenie o zamówieniu lub ogłoszenie o koncesji – tryb standardowy</w:t>
      </w:r>
    </w:p>
    <w:p w14:paraId="4056F7B2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Podrodzaj ogłoszenia: 16</w:t>
      </w:r>
    </w:p>
    <w:p w14:paraId="63692FF8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11/02/2026 10:17:49 (UTC+00:00) czas zachodnioeuropejski, GMT</w:t>
      </w:r>
    </w:p>
    <w:p w14:paraId="556221C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30B76DBF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Numer publikacji ogłoszenia: 109047-2026</w:t>
      </w:r>
    </w:p>
    <w:p w14:paraId="07F9FBAD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32/2026</w:t>
      </w:r>
    </w:p>
    <w:p w14:paraId="1C38D3AC" w14:textId="77777777" w:rsidR="00CB1F15" w:rsidRPr="00CB1F15" w:rsidRDefault="00CB1F15" w:rsidP="00CB1F15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CB1F15">
        <w:rPr>
          <w:rFonts w:ascii="Arial Narrow" w:eastAsia="Times New Roman" w:hAnsi="Arial Narrow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16/02/2026</w:t>
      </w:r>
    </w:p>
    <w:p w14:paraId="7F6D8776" w14:textId="77777777" w:rsidR="0055213F" w:rsidRDefault="0055213F" w:rsidP="00CB1F15">
      <w:pPr>
        <w:rPr>
          <w:rFonts w:ascii="Arial Narrow" w:hAnsi="Arial Narrow"/>
        </w:rPr>
      </w:pPr>
    </w:p>
    <w:p w14:paraId="5A87B637" w14:textId="22310023" w:rsidR="00CB1F15" w:rsidRDefault="00CB1F15" w:rsidP="00CB1F15">
      <w:pPr>
        <w:tabs>
          <w:tab w:val="left" w:pos="6975"/>
        </w:tabs>
        <w:rPr>
          <w:rFonts w:ascii="Arial Narrow" w:hAnsi="Arial Narrow"/>
        </w:rPr>
      </w:pPr>
      <w:r>
        <w:rPr>
          <w:rFonts w:ascii="Arial Narrow" w:hAnsi="Arial Narrow"/>
        </w:rPr>
        <w:tab/>
        <w:t>Zamawiający</w:t>
      </w:r>
    </w:p>
    <w:p w14:paraId="226817AB" w14:textId="77777777" w:rsidR="00CB1F15" w:rsidRPr="00CB1F15" w:rsidRDefault="00CB1F15" w:rsidP="00CB1F15">
      <w:pPr>
        <w:rPr>
          <w:rFonts w:ascii="Arial Narrow" w:hAnsi="Arial Narrow"/>
        </w:rPr>
      </w:pPr>
    </w:p>
    <w:p w14:paraId="33389A27" w14:textId="77777777" w:rsidR="00CB1F15" w:rsidRPr="00CB1F15" w:rsidRDefault="00CB1F15" w:rsidP="00CB1F15">
      <w:pPr>
        <w:rPr>
          <w:rFonts w:ascii="Arial Narrow" w:hAnsi="Arial Narrow"/>
        </w:rPr>
      </w:pPr>
    </w:p>
    <w:p w14:paraId="1DCE5941" w14:textId="77777777" w:rsidR="00CB1F15" w:rsidRPr="00CB1F15" w:rsidRDefault="00CB1F15" w:rsidP="00CB1F15">
      <w:pPr>
        <w:rPr>
          <w:rFonts w:ascii="Arial Narrow" w:hAnsi="Arial Narrow"/>
        </w:rPr>
      </w:pPr>
    </w:p>
    <w:p w14:paraId="70A164E4" w14:textId="77777777" w:rsidR="00CB1F15" w:rsidRPr="00CB1F15" w:rsidRDefault="00CB1F15" w:rsidP="00CB1F15">
      <w:pPr>
        <w:rPr>
          <w:rFonts w:ascii="Arial Narrow" w:hAnsi="Arial Narrow"/>
        </w:rPr>
      </w:pPr>
    </w:p>
    <w:p w14:paraId="2A3B68F7" w14:textId="77777777" w:rsidR="00CB1F15" w:rsidRPr="00CB1F15" w:rsidRDefault="00CB1F15" w:rsidP="00CB1F15">
      <w:pPr>
        <w:rPr>
          <w:rFonts w:ascii="Arial Narrow" w:hAnsi="Arial Narrow"/>
        </w:rPr>
      </w:pPr>
    </w:p>
    <w:p w14:paraId="7F41264B" w14:textId="77777777" w:rsidR="00CB1F15" w:rsidRPr="00CB1F15" w:rsidRDefault="00CB1F15" w:rsidP="00CB1F15">
      <w:pPr>
        <w:rPr>
          <w:rFonts w:ascii="Arial Narrow" w:hAnsi="Arial Narrow"/>
        </w:rPr>
      </w:pPr>
    </w:p>
    <w:p w14:paraId="69F84378" w14:textId="77777777" w:rsidR="00CB1F15" w:rsidRPr="00CB1F15" w:rsidRDefault="00CB1F15" w:rsidP="00CB1F15">
      <w:pPr>
        <w:rPr>
          <w:rFonts w:ascii="Arial Narrow" w:hAnsi="Arial Narrow"/>
        </w:rPr>
      </w:pPr>
    </w:p>
    <w:p w14:paraId="070FB066" w14:textId="77777777" w:rsidR="00CB1F15" w:rsidRPr="00CB1F15" w:rsidRDefault="00CB1F15" w:rsidP="00CB1F15">
      <w:pPr>
        <w:rPr>
          <w:rFonts w:ascii="Arial Narrow" w:hAnsi="Arial Narrow"/>
        </w:rPr>
      </w:pPr>
    </w:p>
    <w:p w14:paraId="0C006E90" w14:textId="77777777" w:rsidR="00CB1F15" w:rsidRPr="00CB1F15" w:rsidRDefault="00CB1F15" w:rsidP="00CB1F15">
      <w:pPr>
        <w:rPr>
          <w:rFonts w:ascii="Arial Narrow" w:hAnsi="Arial Narrow"/>
        </w:rPr>
      </w:pPr>
    </w:p>
    <w:p w14:paraId="5FF11ACF" w14:textId="77777777" w:rsidR="00CB1F15" w:rsidRPr="00CB1F15" w:rsidRDefault="00CB1F15" w:rsidP="00CB1F15">
      <w:pPr>
        <w:rPr>
          <w:rFonts w:ascii="Arial Narrow" w:hAnsi="Arial Narrow"/>
        </w:rPr>
      </w:pPr>
    </w:p>
    <w:p w14:paraId="37E27AF1" w14:textId="77777777" w:rsidR="00CB1F15" w:rsidRPr="00CB1F15" w:rsidRDefault="00CB1F15" w:rsidP="00CB1F15">
      <w:pPr>
        <w:rPr>
          <w:rFonts w:ascii="Arial Narrow" w:hAnsi="Arial Narrow"/>
        </w:rPr>
      </w:pPr>
    </w:p>
    <w:p w14:paraId="5C92C611" w14:textId="77777777" w:rsidR="00CB1F15" w:rsidRPr="00CB1F15" w:rsidRDefault="00CB1F15" w:rsidP="00CB1F15">
      <w:pPr>
        <w:rPr>
          <w:rFonts w:ascii="Arial Narrow" w:hAnsi="Arial Narrow"/>
        </w:rPr>
      </w:pPr>
    </w:p>
    <w:p w14:paraId="7F9F1ED4" w14:textId="77777777" w:rsidR="00CB1F15" w:rsidRPr="00CB1F15" w:rsidRDefault="00CB1F15" w:rsidP="00CB1F15">
      <w:pPr>
        <w:rPr>
          <w:rFonts w:ascii="Arial Narrow" w:hAnsi="Arial Narrow"/>
        </w:rPr>
      </w:pPr>
    </w:p>
    <w:p w14:paraId="2B86794E" w14:textId="77777777" w:rsidR="00CB1F15" w:rsidRPr="00CB1F15" w:rsidRDefault="00CB1F15" w:rsidP="00CB1F15">
      <w:pPr>
        <w:rPr>
          <w:rFonts w:ascii="Arial Narrow" w:hAnsi="Arial Narrow"/>
        </w:rPr>
      </w:pPr>
    </w:p>
    <w:p w14:paraId="4E1104CF" w14:textId="77777777" w:rsidR="00CB1F15" w:rsidRPr="00CB1F15" w:rsidRDefault="00CB1F15" w:rsidP="00CB1F15">
      <w:pPr>
        <w:rPr>
          <w:rFonts w:ascii="Arial Narrow" w:hAnsi="Arial Narrow"/>
        </w:rPr>
      </w:pPr>
    </w:p>
    <w:p w14:paraId="5665416A" w14:textId="77777777" w:rsidR="00CB1F15" w:rsidRPr="00CB1F15" w:rsidRDefault="00CB1F15" w:rsidP="00CB1F15">
      <w:pPr>
        <w:rPr>
          <w:rFonts w:ascii="Arial Narrow" w:hAnsi="Arial Narrow"/>
        </w:rPr>
      </w:pPr>
    </w:p>
    <w:p w14:paraId="4DCCFE8E" w14:textId="77777777" w:rsidR="00CB1F15" w:rsidRDefault="00CB1F15" w:rsidP="00CB1F15">
      <w:pPr>
        <w:rPr>
          <w:rFonts w:ascii="Arial Narrow" w:hAnsi="Arial Narrow"/>
        </w:rPr>
      </w:pPr>
    </w:p>
    <w:p w14:paraId="787ABFE7" w14:textId="77777777" w:rsidR="00CB1F15" w:rsidRPr="00CB1F15" w:rsidRDefault="00CB1F15" w:rsidP="00CB1F15">
      <w:pPr>
        <w:rPr>
          <w:rFonts w:ascii="Arial Narrow" w:hAnsi="Arial Narrow"/>
        </w:rPr>
      </w:pPr>
    </w:p>
    <w:p w14:paraId="43ADE599" w14:textId="77777777" w:rsidR="00CB1F15" w:rsidRDefault="00CB1F15" w:rsidP="00CB1F15">
      <w:pPr>
        <w:rPr>
          <w:rFonts w:ascii="Arial Narrow" w:hAnsi="Arial Narrow"/>
        </w:rPr>
      </w:pPr>
    </w:p>
    <w:p w14:paraId="25FB4786" w14:textId="77777777" w:rsidR="00CB1F15" w:rsidRDefault="00CB1F15" w:rsidP="00CB1F15">
      <w:pPr>
        <w:rPr>
          <w:rFonts w:ascii="Arial Narrow" w:hAnsi="Arial Narrow"/>
        </w:rPr>
      </w:pPr>
    </w:p>
    <w:p w14:paraId="231C1A4D" w14:textId="77777777" w:rsidR="00CB1F15" w:rsidRDefault="00CB1F15" w:rsidP="00CB1F15">
      <w:pPr>
        <w:rPr>
          <w:rFonts w:ascii="Arial Narrow" w:hAnsi="Arial Narrow"/>
        </w:rPr>
      </w:pPr>
    </w:p>
    <w:p w14:paraId="447736C7" w14:textId="77777777" w:rsidR="00CB1F15" w:rsidRDefault="00CB1F15" w:rsidP="00CB1F15">
      <w:pPr>
        <w:rPr>
          <w:rFonts w:ascii="Arial Narrow" w:hAnsi="Arial Narrow"/>
        </w:rPr>
      </w:pPr>
    </w:p>
    <w:p w14:paraId="5E84B10E" w14:textId="77777777" w:rsidR="00CB1F15" w:rsidRDefault="00CB1F15" w:rsidP="00CB1F15">
      <w:pPr>
        <w:rPr>
          <w:rFonts w:ascii="Arial Narrow" w:hAnsi="Arial Narrow"/>
        </w:rPr>
      </w:pPr>
    </w:p>
    <w:p w14:paraId="681D8273" w14:textId="77777777" w:rsidR="00CB1F15" w:rsidRDefault="00CB1F15" w:rsidP="00CB1F15">
      <w:pPr>
        <w:rPr>
          <w:rFonts w:ascii="Arial Narrow" w:hAnsi="Arial Narrow"/>
        </w:rPr>
      </w:pPr>
    </w:p>
    <w:p w14:paraId="77573863" w14:textId="77777777" w:rsidR="00CB1F15" w:rsidRDefault="00CB1F15" w:rsidP="00CB1F15">
      <w:pPr>
        <w:spacing w:after="0" w:line="240" w:lineRule="auto"/>
        <w:rPr>
          <w:rFonts w:ascii="Arial Narrow" w:hAnsi="Arial Narrow"/>
        </w:rPr>
      </w:pPr>
    </w:p>
    <w:p w14:paraId="33CF6639" w14:textId="67B9ECE6" w:rsidR="00CB1F15" w:rsidRDefault="00CB1F15" w:rsidP="00CB1F1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1 egz. na 3 ark.</w:t>
      </w:r>
    </w:p>
    <w:p w14:paraId="4A6BC325" w14:textId="3CD5FB2C" w:rsidR="00CB1F15" w:rsidRDefault="00CB1F15" w:rsidP="00CB1F1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14:paraId="56A15857" w14:textId="43879F3E" w:rsidR="00CB1F15" w:rsidRDefault="00CB1F15" w:rsidP="00CB1F1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Karolina Kornowska – tel. 261 417 364, e-mail: </w:t>
      </w:r>
      <w:hyperlink r:id="rId23" w:history="1">
        <w:r w:rsidRPr="002355B6">
          <w:rPr>
            <w:rStyle w:val="Hipercze"/>
            <w:rFonts w:ascii="Arial Narrow" w:hAnsi="Arial Narrow"/>
            <w:sz w:val="20"/>
            <w:szCs w:val="20"/>
          </w:rPr>
          <w:t>kornowska4835@10wsk.mil.pl</w:t>
        </w:r>
      </w:hyperlink>
      <w:r>
        <w:rPr>
          <w:rFonts w:ascii="Arial Narrow" w:hAnsi="Arial Narrow"/>
          <w:sz w:val="20"/>
          <w:szCs w:val="20"/>
        </w:rPr>
        <w:t xml:space="preserve"> </w:t>
      </w:r>
    </w:p>
    <w:p w14:paraId="36742E9E" w14:textId="18163E8A" w:rsidR="00CB1F15" w:rsidRPr="00CB1F15" w:rsidRDefault="00CB1F15" w:rsidP="00CB1F15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2026-02-16</w:t>
      </w:r>
    </w:p>
    <w:sectPr w:rsidR="00CB1F15" w:rsidRPr="00CB1F15">
      <w:head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8F9650" w14:textId="77777777" w:rsidR="007C601A" w:rsidRDefault="007C601A" w:rsidP="00CB1F15">
      <w:pPr>
        <w:spacing w:after="0" w:line="240" w:lineRule="auto"/>
      </w:pPr>
      <w:r>
        <w:separator/>
      </w:r>
    </w:p>
  </w:endnote>
  <w:endnote w:type="continuationSeparator" w:id="0">
    <w:p w14:paraId="3CF728A8" w14:textId="77777777" w:rsidR="007C601A" w:rsidRDefault="007C601A" w:rsidP="00CB1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A8F88" w14:textId="77777777" w:rsidR="007C601A" w:rsidRDefault="007C601A" w:rsidP="00CB1F15">
      <w:pPr>
        <w:spacing w:after="0" w:line="240" w:lineRule="auto"/>
      </w:pPr>
      <w:r>
        <w:separator/>
      </w:r>
    </w:p>
  </w:footnote>
  <w:footnote w:type="continuationSeparator" w:id="0">
    <w:p w14:paraId="75C05E02" w14:textId="77777777" w:rsidR="007C601A" w:rsidRDefault="007C601A" w:rsidP="00CB1F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B3330" w14:textId="42CEE0E3" w:rsidR="00CB1F15" w:rsidRDefault="00CB1F15">
    <w:pPr>
      <w:pStyle w:val="Nagwek"/>
    </w:pPr>
    <w:r>
      <w:t>Sprawa 20/2026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F15"/>
    <w:rsid w:val="001915D9"/>
    <w:rsid w:val="003A4E82"/>
    <w:rsid w:val="0055213F"/>
    <w:rsid w:val="007C601A"/>
    <w:rsid w:val="00CB1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CB76F"/>
  <w15:chartTrackingRefBased/>
  <w15:docId w15:val="{F088A1B1-A2ED-47B4-9FA0-D16FB859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F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B1F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B1F1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B1F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B1F1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B1F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B1F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B1F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B1F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B1F1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B1F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B1F1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B1F1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B1F1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B1F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B1F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B1F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B1F1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B1F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1F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1F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B1F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B1F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B1F1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B1F1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B1F1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B1F1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B1F1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B1F15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CB1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1F15"/>
  </w:style>
  <w:style w:type="paragraph" w:styleId="Stopka">
    <w:name w:val="footer"/>
    <w:basedOn w:val="Normalny"/>
    <w:link w:val="StopkaZnak"/>
    <w:uiPriority w:val="99"/>
    <w:unhideWhenUsed/>
    <w:rsid w:val="00CB1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1F15"/>
  </w:style>
  <w:style w:type="character" w:styleId="Hipercze">
    <w:name w:val="Hyperlink"/>
    <w:basedOn w:val="Domylnaczcionkaakapitu"/>
    <w:uiPriority w:val="99"/>
    <w:unhideWhenUsed/>
    <w:rsid w:val="00CB1F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1F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mailto:sp@prokuratoria.gov.pl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mailto:ted@publications.europa.eu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www.10wsk.mil.pl/" TargetMode="External"/><Relationship Id="rId17" Type="http://schemas.openxmlformats.org/officeDocument/2006/relationships/hyperlink" Target="https://www.gov.pl/web/uzp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yperlink" Target="mailto:kornowska4835@10wsk.mil.pl" TargetMode="External"/><Relationship Id="rId24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mailto:odwolania@uzp.gov.pl" TargetMode="External"/><Relationship Id="rId23" Type="http://schemas.openxmlformats.org/officeDocument/2006/relationships/hyperlink" Target="mailto:kornowska4835@10wsk.mil.pl" TargetMode="External"/><Relationship Id="rId10" Type="http://schemas.openxmlformats.org/officeDocument/2006/relationships/hyperlink" Target="http://www.10wsk.mil.pl/" TargetMode="External"/><Relationship Id="rId19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www.uzp.gov.pl/kio" TargetMode="External"/><Relationship Id="rId22" Type="http://schemas.openxmlformats.org/officeDocument/2006/relationships/hyperlink" Target="https://op.europa.eu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1984</Words>
  <Characters>11909</Characters>
  <Application>Microsoft Office Word</Application>
  <DocSecurity>0</DocSecurity>
  <Lines>99</Lines>
  <Paragraphs>27</Paragraphs>
  <ScaleCrop>false</ScaleCrop>
  <Company/>
  <LinksUpToDate>false</LinksUpToDate>
  <CharactersWithSpaces>13866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dcterms:created xsi:type="dcterms:W3CDTF">2026-02-16T12:36:00Z</dcterms:created>
  <dcterms:modified xsi:type="dcterms:W3CDTF">2026-02-16T12:38:00Z</dcterms:modified>
</cp:coreProperties>
</file>