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47B53" w14:textId="77777777" w:rsidR="008C39DC" w:rsidRPr="008C39DC" w:rsidRDefault="008C39DC" w:rsidP="008C39DC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8C39DC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8C39DC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nr 2 do umowy</w:t>
      </w:r>
    </w:p>
    <w:p w14:paraId="027A3CA0" w14:textId="1250C8F3" w:rsidR="008C39DC" w:rsidRPr="007331B7" w:rsidRDefault="007331B7" w:rsidP="007331B7">
      <w:pPr>
        <w:spacing w:line="360" w:lineRule="auto"/>
        <w:jc w:val="center"/>
        <w:rPr>
          <w:rFonts w:ascii="Century Gothic" w:hAnsi="Century Gothic" w:cstheme="minorHAnsi"/>
          <w:b/>
          <w:bCs/>
          <w:color w:val="EE0000"/>
          <w:sz w:val="16"/>
          <w:szCs w:val="16"/>
        </w:rPr>
      </w:pPr>
      <w:r>
        <w:rPr>
          <w:rFonts w:ascii="Century Gothic" w:hAnsi="Century Gothic" w:cstheme="minorHAnsi"/>
          <w:b/>
          <w:bCs/>
          <w:color w:val="EE0000"/>
          <w:sz w:val="16"/>
          <w:szCs w:val="16"/>
        </w:rPr>
        <w:t>MODYFIKACJA z dnia 24.02.2026 r.</w:t>
      </w:r>
    </w:p>
    <w:p w14:paraId="3FE5C5A2" w14:textId="355E6CA1" w:rsidR="0040276C" w:rsidRPr="0040276C" w:rsidRDefault="0040276C" w:rsidP="0040276C">
      <w:pPr>
        <w:spacing w:line="36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  <w:r w:rsidRPr="0040276C">
        <w:rPr>
          <w:rFonts w:ascii="Century Gothic" w:hAnsi="Century Gothic" w:cstheme="minorHAnsi"/>
          <w:b/>
          <w:bCs/>
          <w:sz w:val="16"/>
          <w:szCs w:val="16"/>
        </w:rPr>
        <w:t>Opis przedmiotu zamówienia</w:t>
      </w:r>
    </w:p>
    <w:p w14:paraId="4076A4EB" w14:textId="77777777" w:rsidR="0040276C" w:rsidRPr="00F379A3" w:rsidRDefault="00F379A3" w:rsidP="008C39DC">
      <w:pPr>
        <w:spacing w:after="0" w:line="360" w:lineRule="auto"/>
        <w:ind w:left="-284"/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F379A3"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  <w:t>Zadanie nr 1</w:t>
      </w:r>
    </w:p>
    <w:p w14:paraId="22A192EE" w14:textId="77777777" w:rsidR="00F379A3" w:rsidRPr="0040276C" w:rsidRDefault="00F379A3" w:rsidP="008C39DC">
      <w:pPr>
        <w:spacing w:after="0" w:line="360" w:lineRule="auto"/>
        <w:ind w:left="-284"/>
        <w:rPr>
          <w:rFonts w:ascii="Century Gothic" w:eastAsia="Times New Roman" w:hAnsi="Century Gothic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2B8E79D9" w14:textId="77777777" w:rsidR="0040276C" w:rsidRPr="00F379A3" w:rsidRDefault="0040276C" w:rsidP="008C39DC">
      <w:pPr>
        <w:spacing w:after="0" w:line="360" w:lineRule="auto"/>
        <w:ind w:left="-284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40276C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 xml:space="preserve">Zestaw 20 Pomp infuzyjnych jednostrzykawkowych ze stacjami dokującymi </w:t>
      </w: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779"/>
        <w:gridCol w:w="72"/>
        <w:gridCol w:w="4395"/>
        <w:gridCol w:w="2551"/>
        <w:gridCol w:w="2126"/>
      </w:tblGrid>
      <w:tr w:rsidR="0040276C" w:rsidRPr="0040276C" w14:paraId="49435357" w14:textId="77777777" w:rsidTr="00A051A2">
        <w:trPr>
          <w:trHeight w:val="844"/>
        </w:trPr>
        <w:tc>
          <w:tcPr>
            <w:tcW w:w="779" w:type="dxa"/>
            <w:noWrap/>
            <w:vAlign w:val="center"/>
            <w:hideMark/>
          </w:tcPr>
          <w:p w14:paraId="5B2D342E" w14:textId="77777777" w:rsidR="0040276C" w:rsidRPr="0040276C" w:rsidRDefault="0040276C" w:rsidP="0040276C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0276C">
              <w:rPr>
                <w:rFonts w:ascii="Century Gothic" w:hAnsi="Century Gothic" w:cs="Calibri"/>
                <w:b/>
                <w:sz w:val="16"/>
                <w:szCs w:val="16"/>
              </w:rPr>
              <w:t>LP</w:t>
            </w:r>
          </w:p>
        </w:tc>
        <w:tc>
          <w:tcPr>
            <w:tcW w:w="4467" w:type="dxa"/>
            <w:gridSpan w:val="2"/>
            <w:vAlign w:val="center"/>
            <w:hideMark/>
          </w:tcPr>
          <w:p w14:paraId="7037A3BF" w14:textId="77777777" w:rsidR="0040276C" w:rsidRPr="0040276C" w:rsidRDefault="0040276C" w:rsidP="0040276C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0276C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2551" w:type="dxa"/>
            <w:hideMark/>
          </w:tcPr>
          <w:p w14:paraId="2191CAD4" w14:textId="77777777" w:rsidR="0040276C" w:rsidRPr="0040276C" w:rsidRDefault="0040276C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 w:cs="Calibri"/>
                <w:b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vAlign w:val="center"/>
            <w:hideMark/>
          </w:tcPr>
          <w:p w14:paraId="711EE4FB" w14:textId="77777777" w:rsidR="0040276C" w:rsidRPr="0040276C" w:rsidRDefault="0040276C" w:rsidP="0040276C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0276C">
              <w:rPr>
                <w:rFonts w:ascii="Century Gothic" w:hAnsi="Century Gothic" w:cs="Calibri"/>
                <w:b/>
                <w:sz w:val="16"/>
                <w:szCs w:val="16"/>
              </w:rPr>
              <w:t>Parametr oferowany/podać</w:t>
            </w:r>
          </w:p>
        </w:tc>
      </w:tr>
      <w:tr w:rsidR="0040276C" w:rsidRPr="0040276C" w14:paraId="72158C30" w14:textId="77777777" w:rsidTr="00A051A2">
        <w:trPr>
          <w:trHeight w:val="372"/>
        </w:trPr>
        <w:tc>
          <w:tcPr>
            <w:tcW w:w="9923" w:type="dxa"/>
            <w:gridSpan w:val="5"/>
            <w:noWrap/>
            <w:hideMark/>
          </w:tcPr>
          <w:p w14:paraId="36E108A6" w14:textId="77777777" w:rsidR="0040276C" w:rsidRPr="0040276C" w:rsidRDefault="0040276C" w:rsidP="00A051A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276C">
              <w:rPr>
                <w:rFonts w:ascii="Century Gothic" w:hAnsi="Century Gothic"/>
                <w:b/>
                <w:bCs/>
                <w:sz w:val="16"/>
                <w:szCs w:val="16"/>
              </w:rPr>
              <w:t>Skład zestawu:</w:t>
            </w:r>
          </w:p>
        </w:tc>
      </w:tr>
      <w:tr w:rsidR="00F379A3" w:rsidRPr="0040276C" w14:paraId="1EDDF9E0" w14:textId="77777777" w:rsidTr="00F379A3">
        <w:trPr>
          <w:trHeight w:val="203"/>
        </w:trPr>
        <w:tc>
          <w:tcPr>
            <w:tcW w:w="851" w:type="dxa"/>
            <w:gridSpan w:val="2"/>
            <w:noWrap/>
          </w:tcPr>
          <w:p w14:paraId="3FAFFD02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5D89FB09" w14:textId="77777777" w:rsidR="00F379A3" w:rsidRPr="005549BB" w:rsidRDefault="00F379A3" w:rsidP="00F379A3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549BB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551" w:type="dxa"/>
            <w:noWrap/>
          </w:tcPr>
          <w:p w14:paraId="117062C9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</w:tcPr>
          <w:p w14:paraId="1F8A7CA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40276C" w14:paraId="23FBF203" w14:textId="77777777" w:rsidTr="00F379A3">
        <w:trPr>
          <w:trHeight w:val="406"/>
        </w:trPr>
        <w:tc>
          <w:tcPr>
            <w:tcW w:w="851" w:type="dxa"/>
            <w:gridSpan w:val="2"/>
            <w:noWrap/>
          </w:tcPr>
          <w:p w14:paraId="44C7D7F9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41B53DE1" w14:textId="77777777" w:rsidR="00F379A3" w:rsidRPr="005549BB" w:rsidRDefault="00F379A3" w:rsidP="00F379A3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549BB">
              <w:rPr>
                <w:rFonts w:ascii="Century Gothic" w:hAnsi="Century Gothic" w:cs="Calibri"/>
                <w:sz w:val="16"/>
                <w:szCs w:val="16"/>
              </w:rPr>
              <w:t>Model/Typ (pełna symbolika)</w:t>
            </w:r>
          </w:p>
        </w:tc>
        <w:tc>
          <w:tcPr>
            <w:tcW w:w="2551" w:type="dxa"/>
            <w:noWrap/>
          </w:tcPr>
          <w:p w14:paraId="6113B315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</w:tcPr>
          <w:p w14:paraId="4BCA1E5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40276C" w14:paraId="13029B3D" w14:textId="77777777" w:rsidTr="00F379A3">
        <w:trPr>
          <w:trHeight w:val="70"/>
        </w:trPr>
        <w:tc>
          <w:tcPr>
            <w:tcW w:w="851" w:type="dxa"/>
            <w:gridSpan w:val="2"/>
            <w:noWrap/>
          </w:tcPr>
          <w:p w14:paraId="13802C3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372D0CA1" w14:textId="77777777" w:rsidR="00F379A3" w:rsidRPr="005549BB" w:rsidRDefault="00F379A3" w:rsidP="00F379A3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549BB">
              <w:rPr>
                <w:rFonts w:ascii="Century Gothic" w:hAnsi="Century Gothic" w:cs="Calibri"/>
                <w:sz w:val="16"/>
                <w:szCs w:val="16"/>
              </w:rPr>
              <w:t>Kraj pochodzenia</w:t>
            </w:r>
          </w:p>
        </w:tc>
        <w:tc>
          <w:tcPr>
            <w:tcW w:w="2551" w:type="dxa"/>
            <w:noWrap/>
          </w:tcPr>
          <w:p w14:paraId="564A3D60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</w:tcPr>
          <w:p w14:paraId="7921714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40276C" w14:paraId="59493EE7" w14:textId="77777777" w:rsidTr="00F379A3">
        <w:trPr>
          <w:trHeight w:val="256"/>
        </w:trPr>
        <w:tc>
          <w:tcPr>
            <w:tcW w:w="851" w:type="dxa"/>
            <w:gridSpan w:val="2"/>
            <w:noWrap/>
          </w:tcPr>
          <w:p w14:paraId="660A37B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31086F67" w14:textId="77777777" w:rsidR="00F379A3" w:rsidRPr="005549BB" w:rsidRDefault="00F379A3" w:rsidP="00F379A3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549BB">
              <w:rPr>
                <w:rFonts w:ascii="Century Gothic" w:hAnsi="Century Gothic" w:cs="Calibri"/>
                <w:sz w:val="16"/>
                <w:szCs w:val="16"/>
              </w:rPr>
              <w:t>Rok produkcji (nie wcześniej 2025 r., sprzęt fabrycznie  nowy) nie rekondycjonowany, nie powystawowy</w:t>
            </w:r>
          </w:p>
        </w:tc>
        <w:tc>
          <w:tcPr>
            <w:tcW w:w="2551" w:type="dxa"/>
            <w:noWrap/>
          </w:tcPr>
          <w:p w14:paraId="2BA688ED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</w:tcPr>
          <w:p w14:paraId="2EDFC30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40276C" w14:paraId="660716A8" w14:textId="77777777" w:rsidTr="00F379A3">
        <w:trPr>
          <w:trHeight w:val="1200"/>
        </w:trPr>
        <w:tc>
          <w:tcPr>
            <w:tcW w:w="851" w:type="dxa"/>
            <w:gridSpan w:val="2"/>
            <w:noWrap/>
          </w:tcPr>
          <w:p w14:paraId="69FF0493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75F616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Pompa strzykawkowa sterowana elektronicznie przeznaczona do stosowania u dorosłych, dzieci oraz noworodków w celu okresowego lub ciągłego podawania pozajelitowych i dojelitowych płynów klinicznie akceptowanymi drogami podania. Należą do nich droga dożylna, dotętnicowa, podskórna, zewnątrzoponowa i dojelitowa</w:t>
            </w:r>
            <w:r w:rsidR="00A051A2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40276C">
              <w:rPr>
                <w:rFonts w:ascii="Century Gothic" w:hAnsi="Century Gothic"/>
                <w:sz w:val="16"/>
                <w:szCs w:val="16"/>
              </w:rPr>
              <w:t>-</w:t>
            </w:r>
            <w:r w:rsidR="00A051A2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51A2">
              <w:rPr>
                <w:rFonts w:ascii="Century Gothic" w:hAnsi="Century Gothic"/>
                <w:b/>
                <w:sz w:val="16"/>
                <w:szCs w:val="16"/>
              </w:rPr>
              <w:t>20 szt</w:t>
            </w:r>
            <w:r w:rsidR="00C55CF3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</w:tc>
        <w:tc>
          <w:tcPr>
            <w:tcW w:w="2551" w:type="dxa"/>
            <w:noWrap/>
            <w:hideMark/>
          </w:tcPr>
          <w:p w14:paraId="2127A83F" w14:textId="77777777" w:rsidR="00F379A3" w:rsidRPr="0040276C" w:rsidRDefault="009D66C5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96E42D8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0431BAB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38FD221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211BE3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Napięcie 11-16 V DC, możliwość zasilania przy użyciu zasilacza zewnętrznego </w:t>
            </w:r>
            <w:r w:rsidR="00C55CF3" w:rsidRPr="00C55CF3">
              <w:rPr>
                <w:rFonts w:ascii="Century Gothic" w:hAnsi="Century Gothic"/>
                <w:b/>
                <w:sz w:val="16"/>
                <w:szCs w:val="16"/>
              </w:rPr>
              <w:t>20</w:t>
            </w:r>
            <w:r w:rsidRPr="00C55CF3">
              <w:rPr>
                <w:rFonts w:ascii="Century Gothic" w:hAnsi="Century Gothic"/>
                <w:b/>
                <w:sz w:val="16"/>
                <w:szCs w:val="16"/>
              </w:rPr>
              <w:t xml:space="preserve"> szt</w:t>
            </w:r>
            <w:r w:rsidR="00C55CF3">
              <w:rPr>
                <w:rFonts w:ascii="Century Gothic" w:hAnsi="Century Gothic"/>
                <w:b/>
                <w:sz w:val="16"/>
                <w:szCs w:val="16"/>
              </w:rPr>
              <w:t>.</w:t>
            </w:r>
            <w:r w:rsidRPr="0040276C">
              <w:rPr>
                <w:rFonts w:ascii="Century Gothic" w:hAnsi="Century Gothic"/>
                <w:sz w:val="16"/>
                <w:szCs w:val="16"/>
              </w:rPr>
              <w:t xml:space="preserve"> w dostawie  i opisanej poniżej Stacji Dokującej </w:t>
            </w:r>
          </w:p>
        </w:tc>
        <w:tc>
          <w:tcPr>
            <w:tcW w:w="2551" w:type="dxa"/>
            <w:noWrap/>
            <w:hideMark/>
          </w:tcPr>
          <w:p w14:paraId="5DBC5452" w14:textId="77777777" w:rsidR="00F379A3" w:rsidRPr="0040276C" w:rsidRDefault="009D66C5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CFBBB0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60C09FC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298928F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0DF56E4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Dokładność mechaniczna &lt;&lt;±0,5%</w:t>
            </w:r>
          </w:p>
        </w:tc>
        <w:tc>
          <w:tcPr>
            <w:tcW w:w="2551" w:type="dxa"/>
            <w:noWrap/>
            <w:hideMark/>
          </w:tcPr>
          <w:p w14:paraId="1B93E319" w14:textId="77777777" w:rsidR="00F379A3" w:rsidRPr="0040276C" w:rsidRDefault="009D66C5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37BF8F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6AEA708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66E7B6A0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2560D2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Strzykawka mocowana od przodu  </w:t>
            </w:r>
          </w:p>
        </w:tc>
        <w:tc>
          <w:tcPr>
            <w:tcW w:w="2551" w:type="dxa"/>
            <w:noWrap/>
            <w:hideMark/>
          </w:tcPr>
          <w:p w14:paraId="1A43D376" w14:textId="77777777" w:rsidR="00F379A3" w:rsidRPr="0040276C" w:rsidRDefault="009D66C5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3714091E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5DD93160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454A9D4C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A8139B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Automatyczny napęd strzykawki</w:t>
            </w:r>
          </w:p>
        </w:tc>
        <w:tc>
          <w:tcPr>
            <w:tcW w:w="2551" w:type="dxa"/>
            <w:noWrap/>
            <w:hideMark/>
          </w:tcPr>
          <w:p w14:paraId="2A8FD170" w14:textId="77777777" w:rsidR="00F379A3" w:rsidRPr="0040276C" w:rsidRDefault="009D66C5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6A6272C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A13811F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04812DA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1808336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Zabezpieczenie przed swobodnym przepływem, niezależnie od położenia głowicy napędowej</w:t>
            </w:r>
          </w:p>
        </w:tc>
        <w:tc>
          <w:tcPr>
            <w:tcW w:w="2551" w:type="dxa"/>
            <w:noWrap/>
            <w:hideMark/>
          </w:tcPr>
          <w:p w14:paraId="0DA7BF39" w14:textId="77777777" w:rsidR="00F379A3" w:rsidRPr="0040276C" w:rsidRDefault="009D66C5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75F9CE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578D0466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494D3A15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2BA1DD5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Pompa skalibrowana do pracy ze strzykawkami o objętości 2/3, 5, 10, 20 i 50/60 ml różnych typów oraz różnych producentów  </w:t>
            </w:r>
          </w:p>
        </w:tc>
        <w:tc>
          <w:tcPr>
            <w:tcW w:w="2551" w:type="dxa"/>
            <w:noWrap/>
            <w:hideMark/>
          </w:tcPr>
          <w:p w14:paraId="291744EE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CBC1C0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908D4C7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57EEA9A0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79EE4087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Masa pompy max.1,5 kg</w:t>
            </w:r>
          </w:p>
        </w:tc>
        <w:tc>
          <w:tcPr>
            <w:tcW w:w="2551" w:type="dxa"/>
            <w:noWrap/>
            <w:hideMark/>
          </w:tcPr>
          <w:p w14:paraId="442E8057" w14:textId="77777777" w:rsidR="00F379A3" w:rsidRPr="0040276C" w:rsidRDefault="00C55CF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</w:t>
            </w:r>
            <w:r w:rsidR="00F379A3" w:rsidRPr="0040276C">
              <w:rPr>
                <w:rFonts w:ascii="Century Gothic" w:hAnsi="Century Gothic"/>
                <w:sz w:val="16"/>
                <w:szCs w:val="16"/>
              </w:rPr>
              <w:t>Podać</w:t>
            </w:r>
          </w:p>
        </w:tc>
        <w:tc>
          <w:tcPr>
            <w:tcW w:w="2126" w:type="dxa"/>
            <w:hideMark/>
          </w:tcPr>
          <w:p w14:paraId="46FE68D7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Masa &lt; 1,5 kg = 5 pkt</w:t>
            </w:r>
            <w:r w:rsidRPr="0040276C">
              <w:rPr>
                <w:rFonts w:ascii="Century Gothic" w:hAnsi="Century Gothic"/>
                <w:sz w:val="16"/>
                <w:szCs w:val="16"/>
              </w:rPr>
              <w:br/>
              <w:t>= 1,5 kg = 0 pkt</w:t>
            </w:r>
          </w:p>
        </w:tc>
      </w:tr>
      <w:tr w:rsidR="00F379A3" w:rsidRPr="0040276C" w14:paraId="6B87697F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52D79382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342CB6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Wymiary max. 250 x 70 x 160 mm (szer. x wys. x gł.)</w:t>
            </w:r>
            <w:r w:rsidRPr="0040276C">
              <w:rPr>
                <w:rFonts w:ascii="Century Gothic" w:hAnsi="Century Gothic"/>
                <w:sz w:val="16"/>
                <w:szCs w:val="16"/>
              </w:rPr>
              <w:br/>
              <w:t xml:space="preserve">Pompa </w:t>
            </w:r>
            <w:r w:rsidR="00A051A2" w:rsidRPr="0040276C">
              <w:rPr>
                <w:rFonts w:ascii="Century Gothic" w:hAnsi="Century Gothic"/>
                <w:sz w:val="16"/>
                <w:szCs w:val="16"/>
              </w:rPr>
              <w:t>zajmująca</w:t>
            </w:r>
            <w:r w:rsidRPr="0040276C">
              <w:rPr>
                <w:rFonts w:ascii="Century Gothic" w:hAnsi="Century Gothic"/>
                <w:sz w:val="16"/>
                <w:szCs w:val="16"/>
              </w:rPr>
              <w:t xml:space="preserve"> przestrzeń nie większą niż 3 000 cm3</w:t>
            </w:r>
          </w:p>
        </w:tc>
        <w:tc>
          <w:tcPr>
            <w:tcW w:w="2551" w:type="dxa"/>
            <w:noWrap/>
            <w:hideMark/>
          </w:tcPr>
          <w:p w14:paraId="2482EF56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4E248EC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6D042769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44E72639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2B2208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Klawiatura nawigacyjna do wprowadzania parametrów i obsługi pompy</w:t>
            </w:r>
          </w:p>
        </w:tc>
        <w:tc>
          <w:tcPr>
            <w:tcW w:w="2551" w:type="dxa"/>
            <w:noWrap/>
            <w:hideMark/>
          </w:tcPr>
          <w:p w14:paraId="36981592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380533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3CD0F82" w14:textId="77777777" w:rsidTr="00560DA1">
        <w:trPr>
          <w:trHeight w:val="300"/>
        </w:trPr>
        <w:tc>
          <w:tcPr>
            <w:tcW w:w="851" w:type="dxa"/>
            <w:gridSpan w:val="2"/>
            <w:noWrap/>
          </w:tcPr>
          <w:p w14:paraId="5368D237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755778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0DA1">
              <w:rPr>
                <w:rFonts w:ascii="Century Gothic" w:hAnsi="Century Gothic"/>
                <w:sz w:val="16"/>
                <w:szCs w:val="16"/>
              </w:rPr>
              <w:t>Odłączalny uchwyt do przenoszenia zestaw</w:t>
            </w:r>
            <w:r w:rsidR="00560DA1" w:rsidRPr="00560DA1">
              <w:rPr>
                <w:rFonts w:ascii="Century Gothic" w:hAnsi="Century Gothic"/>
                <w:sz w:val="16"/>
                <w:szCs w:val="16"/>
              </w:rPr>
              <w:t>u</w:t>
            </w:r>
            <w:r w:rsidRPr="00560DA1">
              <w:rPr>
                <w:rFonts w:ascii="Century Gothic" w:hAnsi="Century Gothic"/>
                <w:sz w:val="16"/>
                <w:szCs w:val="16"/>
              </w:rPr>
              <w:t xml:space="preserve"> 2 i 3 pomp zasilanych jednym przewodem </w:t>
            </w:r>
            <w:r w:rsidR="00C55CF3" w:rsidRPr="00560DA1">
              <w:rPr>
                <w:rFonts w:ascii="Century Gothic" w:hAnsi="Century Gothic"/>
                <w:b/>
                <w:sz w:val="16"/>
                <w:szCs w:val="16"/>
              </w:rPr>
              <w:t>20</w:t>
            </w:r>
            <w:r w:rsidRPr="00560DA1">
              <w:rPr>
                <w:rFonts w:ascii="Century Gothic" w:hAnsi="Century Gothic"/>
                <w:b/>
                <w:sz w:val="16"/>
                <w:szCs w:val="16"/>
              </w:rPr>
              <w:t xml:space="preserve"> szt</w:t>
            </w:r>
            <w:r w:rsidR="00C55CF3" w:rsidRPr="00560DA1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</w:tc>
        <w:tc>
          <w:tcPr>
            <w:tcW w:w="2551" w:type="dxa"/>
            <w:noWrap/>
            <w:hideMark/>
          </w:tcPr>
          <w:p w14:paraId="24D82175" w14:textId="77777777" w:rsidR="00F379A3" w:rsidRPr="0040276C" w:rsidRDefault="003B7FBB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288590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E84CADE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3CD8A227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DD1874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podłączenia odłączalnego uchwytu do przenoszenia i mocowania pompy do rur i szyn medycznych pionowych i poziomych </w:t>
            </w:r>
          </w:p>
        </w:tc>
        <w:tc>
          <w:tcPr>
            <w:tcW w:w="2551" w:type="dxa"/>
            <w:noWrap/>
            <w:hideMark/>
          </w:tcPr>
          <w:p w14:paraId="4A3FE28C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FE2E55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8D0B429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17676A16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55D93B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łączenia 2 i 3 pomp w moduły bez użycia stacji dokującej. </w:t>
            </w:r>
          </w:p>
        </w:tc>
        <w:tc>
          <w:tcPr>
            <w:tcW w:w="2551" w:type="dxa"/>
            <w:noWrap/>
            <w:hideMark/>
          </w:tcPr>
          <w:p w14:paraId="21FA0AB6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079B99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5C82F7DF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699C637B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2FA156A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Podświetlany ekran i przyciski z </w:t>
            </w:r>
            <w:r w:rsidR="00C55CF3" w:rsidRPr="0040276C">
              <w:rPr>
                <w:rFonts w:ascii="Century Gothic" w:hAnsi="Century Gothic"/>
                <w:sz w:val="16"/>
                <w:szCs w:val="16"/>
              </w:rPr>
              <w:t>możliwością</w:t>
            </w:r>
            <w:r w:rsidRPr="0040276C">
              <w:rPr>
                <w:rFonts w:ascii="Century Gothic" w:hAnsi="Century Gothic"/>
                <w:sz w:val="16"/>
                <w:szCs w:val="16"/>
              </w:rPr>
              <w:t xml:space="preserve"> regulacji na </w:t>
            </w:r>
            <w:r w:rsidR="00C55CF3">
              <w:rPr>
                <w:rFonts w:ascii="Century Gothic" w:hAnsi="Century Gothic"/>
                <w:sz w:val="16"/>
                <w:szCs w:val="16"/>
              </w:rPr>
              <w:t xml:space="preserve">min. </w:t>
            </w:r>
            <w:r w:rsidRPr="0040276C">
              <w:rPr>
                <w:rFonts w:ascii="Century Gothic" w:hAnsi="Century Gothic"/>
                <w:sz w:val="16"/>
                <w:szCs w:val="16"/>
              </w:rPr>
              <w:t>9 poziomach</w:t>
            </w:r>
          </w:p>
        </w:tc>
        <w:tc>
          <w:tcPr>
            <w:tcW w:w="2551" w:type="dxa"/>
            <w:noWrap/>
            <w:hideMark/>
          </w:tcPr>
          <w:p w14:paraId="5B870163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  <w:r w:rsidR="00C55CF3">
              <w:rPr>
                <w:rFonts w:ascii="Century Gothic" w:hAnsi="Century Gothic"/>
                <w:sz w:val="16"/>
                <w:szCs w:val="16"/>
              </w:rPr>
              <w:t>/</w:t>
            </w:r>
            <w:r w:rsidR="00C55CF3" w:rsidRPr="0040276C">
              <w:rPr>
                <w:rFonts w:ascii="Century Gothic" w:hAnsi="Century Gothic"/>
                <w:sz w:val="16"/>
                <w:szCs w:val="16"/>
              </w:rPr>
              <w:t xml:space="preserve"> Podać</w:t>
            </w:r>
          </w:p>
        </w:tc>
        <w:tc>
          <w:tcPr>
            <w:tcW w:w="2126" w:type="dxa"/>
            <w:noWrap/>
            <w:hideMark/>
          </w:tcPr>
          <w:p w14:paraId="654D2B4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7C9E6F8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276C0A1E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76CCEE2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Regulacja głośności w zakresie od 59dBA do 74dBA na </w:t>
            </w:r>
            <w:r w:rsidR="00C55CF3">
              <w:rPr>
                <w:rFonts w:ascii="Century Gothic" w:hAnsi="Century Gothic"/>
                <w:sz w:val="16"/>
                <w:szCs w:val="16"/>
              </w:rPr>
              <w:t xml:space="preserve">min. </w:t>
            </w:r>
            <w:r w:rsidRPr="0040276C">
              <w:rPr>
                <w:rFonts w:ascii="Century Gothic" w:hAnsi="Century Gothic"/>
                <w:sz w:val="16"/>
                <w:szCs w:val="16"/>
              </w:rPr>
              <w:t>9 poziomach</w:t>
            </w:r>
          </w:p>
        </w:tc>
        <w:tc>
          <w:tcPr>
            <w:tcW w:w="2551" w:type="dxa"/>
            <w:noWrap/>
            <w:hideMark/>
          </w:tcPr>
          <w:p w14:paraId="2ED90C0F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  <w:r w:rsidR="00C55CF3">
              <w:rPr>
                <w:rFonts w:ascii="Century Gothic" w:hAnsi="Century Gothic"/>
                <w:sz w:val="16"/>
                <w:szCs w:val="16"/>
              </w:rPr>
              <w:t>/</w:t>
            </w:r>
            <w:r w:rsidR="00C55CF3" w:rsidRPr="0040276C">
              <w:rPr>
                <w:rFonts w:ascii="Century Gothic" w:hAnsi="Century Gothic"/>
                <w:sz w:val="16"/>
                <w:szCs w:val="16"/>
              </w:rPr>
              <w:t xml:space="preserve"> Podać</w:t>
            </w:r>
          </w:p>
        </w:tc>
        <w:tc>
          <w:tcPr>
            <w:tcW w:w="2126" w:type="dxa"/>
            <w:noWrap/>
            <w:hideMark/>
          </w:tcPr>
          <w:p w14:paraId="57B076C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06B9FB7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07AE8BCB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4E359A1A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Regulacja jasności i kontrastu ekranu na </w:t>
            </w:r>
            <w:r w:rsidR="00C55CF3">
              <w:rPr>
                <w:rFonts w:ascii="Century Gothic" w:hAnsi="Century Gothic"/>
                <w:sz w:val="16"/>
                <w:szCs w:val="16"/>
              </w:rPr>
              <w:t xml:space="preserve">min. </w:t>
            </w:r>
            <w:r w:rsidRPr="0040276C">
              <w:rPr>
                <w:rFonts w:ascii="Century Gothic" w:hAnsi="Century Gothic"/>
                <w:sz w:val="16"/>
                <w:szCs w:val="16"/>
              </w:rPr>
              <w:t>9 poziomach</w:t>
            </w:r>
          </w:p>
        </w:tc>
        <w:tc>
          <w:tcPr>
            <w:tcW w:w="2551" w:type="dxa"/>
            <w:noWrap/>
            <w:hideMark/>
          </w:tcPr>
          <w:p w14:paraId="7965A97D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  <w:r w:rsidR="00C55CF3">
              <w:rPr>
                <w:rFonts w:ascii="Century Gothic" w:hAnsi="Century Gothic"/>
                <w:sz w:val="16"/>
                <w:szCs w:val="16"/>
              </w:rPr>
              <w:t>/</w:t>
            </w:r>
            <w:r w:rsidR="00C55CF3" w:rsidRPr="0040276C">
              <w:rPr>
                <w:rFonts w:ascii="Century Gothic" w:hAnsi="Century Gothic"/>
                <w:sz w:val="16"/>
                <w:szCs w:val="16"/>
              </w:rPr>
              <w:t xml:space="preserve"> Podać</w:t>
            </w:r>
          </w:p>
        </w:tc>
        <w:tc>
          <w:tcPr>
            <w:tcW w:w="2126" w:type="dxa"/>
            <w:noWrap/>
            <w:hideMark/>
          </w:tcPr>
          <w:p w14:paraId="4C241CA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8EB8535" w14:textId="77777777" w:rsidTr="00A051A2">
        <w:trPr>
          <w:trHeight w:val="631"/>
        </w:trPr>
        <w:tc>
          <w:tcPr>
            <w:tcW w:w="851" w:type="dxa"/>
            <w:gridSpan w:val="2"/>
            <w:noWrap/>
          </w:tcPr>
          <w:p w14:paraId="5BDAE4AE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783BFB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Zasilanie z akumulatora wewnętrznego min 16 h. przy przepływie 5 ml/h.</w:t>
            </w:r>
          </w:p>
        </w:tc>
        <w:tc>
          <w:tcPr>
            <w:tcW w:w="2551" w:type="dxa"/>
            <w:noWrap/>
            <w:hideMark/>
          </w:tcPr>
          <w:p w14:paraId="145E23BA" w14:textId="77777777" w:rsidR="00F379A3" w:rsidRPr="0040276C" w:rsidRDefault="00C55CF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</w:t>
            </w:r>
            <w:r w:rsidR="00F379A3" w:rsidRPr="0040276C">
              <w:rPr>
                <w:rFonts w:ascii="Century Gothic" w:hAnsi="Century Gothic"/>
                <w:sz w:val="16"/>
                <w:szCs w:val="16"/>
              </w:rPr>
              <w:t>Podać</w:t>
            </w:r>
          </w:p>
        </w:tc>
        <w:tc>
          <w:tcPr>
            <w:tcW w:w="2126" w:type="dxa"/>
            <w:hideMark/>
          </w:tcPr>
          <w:p w14:paraId="7A8D470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Czas pracy   &gt;16h = 5 pkt</w:t>
            </w:r>
            <w:r w:rsidRPr="0040276C">
              <w:rPr>
                <w:rFonts w:ascii="Century Gothic" w:hAnsi="Century Gothic"/>
                <w:sz w:val="16"/>
                <w:szCs w:val="16"/>
              </w:rPr>
              <w:br/>
              <w:t>Czas pracy ≤ 16h - 0 pkt</w:t>
            </w:r>
          </w:p>
        </w:tc>
      </w:tr>
      <w:tr w:rsidR="00F379A3" w:rsidRPr="0040276C" w14:paraId="4A08ABFA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1E6200D2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0C64577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wymiany akumulatora przez użytkownika bez użycia narzędzi.</w:t>
            </w:r>
          </w:p>
        </w:tc>
        <w:tc>
          <w:tcPr>
            <w:tcW w:w="2551" w:type="dxa"/>
            <w:noWrap/>
            <w:hideMark/>
          </w:tcPr>
          <w:p w14:paraId="4163C384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2B507E4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67358F58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49BA7547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11320E5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programowania parametrów infuzji w mg, mcg, U lub mmol,   z uwzględnieniem lub nie masy ciała w odniesieniu do czasu ( np. mg/kg/min; mg/kg/h; mg/kg/24h) </w:t>
            </w:r>
          </w:p>
        </w:tc>
        <w:tc>
          <w:tcPr>
            <w:tcW w:w="2551" w:type="dxa"/>
            <w:noWrap/>
            <w:hideMark/>
          </w:tcPr>
          <w:p w14:paraId="485E035D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9B3F11B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DDB19DB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0CC90A73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17A28B5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Zakres prędkości infuzji podstawowej min. 0,1 do 999,9 ml/h  Prędkość infuzji w zakresie od 0,1 - 99,99ml/h programowana co 0,01ml/godz. </w:t>
            </w:r>
          </w:p>
        </w:tc>
        <w:tc>
          <w:tcPr>
            <w:tcW w:w="2551" w:type="dxa"/>
            <w:noWrap/>
            <w:hideMark/>
          </w:tcPr>
          <w:p w14:paraId="51C82680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679E88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4FC50C46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297B959E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0527849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Prędkości  bolusa min:</w:t>
            </w:r>
          </w:p>
        </w:tc>
        <w:tc>
          <w:tcPr>
            <w:tcW w:w="2551" w:type="dxa"/>
            <w:noWrap/>
            <w:hideMark/>
          </w:tcPr>
          <w:p w14:paraId="5815BB64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4C2C9D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56BA2E5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5574BFDB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7AF11A02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dla strzykawki o poj.3ml =1-150 ml/h</w:t>
            </w:r>
          </w:p>
        </w:tc>
        <w:tc>
          <w:tcPr>
            <w:tcW w:w="2551" w:type="dxa"/>
            <w:noWrap/>
            <w:hideMark/>
          </w:tcPr>
          <w:p w14:paraId="0E7FBCAF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576461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721992D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D54EA0E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3DA4042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dla strzykawki o poj.5ml =1-300 ml/h</w:t>
            </w:r>
          </w:p>
        </w:tc>
        <w:tc>
          <w:tcPr>
            <w:tcW w:w="2551" w:type="dxa"/>
            <w:noWrap/>
            <w:hideMark/>
          </w:tcPr>
          <w:p w14:paraId="583F7FAA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7118B8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847A20B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EFE077F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72727D28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dla strzykawki o poj.10ml =1-500 ml/h</w:t>
            </w:r>
          </w:p>
        </w:tc>
        <w:tc>
          <w:tcPr>
            <w:tcW w:w="2551" w:type="dxa"/>
            <w:noWrap/>
            <w:hideMark/>
          </w:tcPr>
          <w:p w14:paraId="2D3868A2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6812E77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71648F0F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2F204E99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05740BD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dla strzykawki o poj.20ml =1-800 ml/h</w:t>
            </w:r>
          </w:p>
        </w:tc>
        <w:tc>
          <w:tcPr>
            <w:tcW w:w="2551" w:type="dxa"/>
            <w:noWrap/>
            <w:hideMark/>
          </w:tcPr>
          <w:p w14:paraId="4FF6084C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2CA92E5E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462972DB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39D1142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24FF16FA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dla strzykawki o poj.30ml =1-1200 ml/h</w:t>
            </w:r>
          </w:p>
        </w:tc>
        <w:tc>
          <w:tcPr>
            <w:tcW w:w="2551" w:type="dxa"/>
            <w:noWrap/>
            <w:hideMark/>
          </w:tcPr>
          <w:p w14:paraId="6921437E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3C272E5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76522E30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3F281EB0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012E2BB2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dla strzykawki o poj.50/60ml =1-1800 ml/h</w:t>
            </w:r>
          </w:p>
        </w:tc>
        <w:tc>
          <w:tcPr>
            <w:tcW w:w="2551" w:type="dxa"/>
            <w:noWrap/>
            <w:hideMark/>
          </w:tcPr>
          <w:p w14:paraId="634EF266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66B62FB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628AF52" w14:textId="77777777" w:rsidTr="00F379A3">
        <w:trPr>
          <w:trHeight w:val="900"/>
        </w:trPr>
        <w:tc>
          <w:tcPr>
            <w:tcW w:w="851" w:type="dxa"/>
            <w:gridSpan w:val="2"/>
            <w:noWrap/>
          </w:tcPr>
          <w:p w14:paraId="49C2E10C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4405BB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utworzenia Bazy Leków używanych w infuzjoterapii na terenie szpitala  z możliwością zastosowania oprogramowania do tworzenia Bibliotek Leków na poszczególne oddziały.</w:t>
            </w:r>
          </w:p>
        </w:tc>
        <w:tc>
          <w:tcPr>
            <w:tcW w:w="2551" w:type="dxa"/>
            <w:noWrap/>
            <w:hideMark/>
          </w:tcPr>
          <w:p w14:paraId="440AFA22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42AB9D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671FE403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01DAAF70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D891C9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skonfigurowania do min. 50 oddziałów w jednej pompie.</w:t>
            </w:r>
          </w:p>
        </w:tc>
        <w:tc>
          <w:tcPr>
            <w:tcW w:w="2551" w:type="dxa"/>
            <w:noWrap/>
            <w:hideMark/>
          </w:tcPr>
          <w:p w14:paraId="501A18C8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435984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4479DB11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4D7B297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08F2CD65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Biblioteka Leków zawierająca min.1 000  leków z możliwością podzielenia na min. 30 grup.  </w:t>
            </w:r>
          </w:p>
        </w:tc>
        <w:tc>
          <w:tcPr>
            <w:tcW w:w="2551" w:type="dxa"/>
            <w:noWrap/>
            <w:hideMark/>
          </w:tcPr>
          <w:p w14:paraId="65BE4546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4F74875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165C716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11D604AE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A7E3118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Biblioteka leków zawierająca po 10 stężeń dla każdego leku.</w:t>
            </w:r>
          </w:p>
        </w:tc>
        <w:tc>
          <w:tcPr>
            <w:tcW w:w="2551" w:type="dxa"/>
            <w:noWrap/>
            <w:hideMark/>
          </w:tcPr>
          <w:p w14:paraId="362E542A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2A5F9F0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61AF46FD" w14:textId="77777777" w:rsidTr="00F379A3">
        <w:trPr>
          <w:trHeight w:val="900"/>
        </w:trPr>
        <w:tc>
          <w:tcPr>
            <w:tcW w:w="851" w:type="dxa"/>
            <w:gridSpan w:val="2"/>
            <w:noWrap/>
          </w:tcPr>
          <w:p w14:paraId="2893592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7D015EB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Leki zawarte w Bibliotece Leków powiązane z parametrami infuzji (limity względne min-max;limity bezwzględne min-max, parametry standardowe), możliwość wyświetlania naprzemiennego nazwy leku i/lub wybranych parametrów infuzji. </w:t>
            </w:r>
          </w:p>
        </w:tc>
        <w:tc>
          <w:tcPr>
            <w:tcW w:w="2551" w:type="dxa"/>
            <w:noWrap/>
            <w:hideMark/>
          </w:tcPr>
          <w:p w14:paraId="44E5AFAA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3A90D7B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BB17E74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1C433FC3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AF1EC3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Automatyczne prowadzenie infuzji przy stopniowym wzroście i spadku prędkości. Infuzja składa się z trzech faz: wzrostu, utrzymania i spadku.</w:t>
            </w:r>
          </w:p>
        </w:tc>
        <w:tc>
          <w:tcPr>
            <w:tcW w:w="2551" w:type="dxa"/>
            <w:noWrap/>
            <w:hideMark/>
          </w:tcPr>
          <w:p w14:paraId="0E00B62E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4C59CA4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4545FC54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534CE342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47B740E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Automatyczne prowadzenie infuzji w trybie okresowym, </w:t>
            </w:r>
            <w:r w:rsidR="00F95418" w:rsidRPr="0040276C">
              <w:rPr>
                <w:rFonts w:ascii="Century Gothic" w:hAnsi="Century Gothic"/>
                <w:sz w:val="16"/>
                <w:szCs w:val="16"/>
              </w:rPr>
              <w:t>składającym</w:t>
            </w:r>
            <w:r w:rsidRPr="0040276C">
              <w:rPr>
                <w:rFonts w:ascii="Century Gothic" w:hAnsi="Century Gothic"/>
                <w:sz w:val="16"/>
                <w:szCs w:val="16"/>
              </w:rPr>
              <w:t xml:space="preserve"> się z dwóch faz: bolusa i prędkości.</w:t>
            </w:r>
          </w:p>
        </w:tc>
        <w:tc>
          <w:tcPr>
            <w:tcW w:w="2551" w:type="dxa"/>
            <w:noWrap/>
            <w:hideMark/>
          </w:tcPr>
          <w:p w14:paraId="5C40D2C6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3DE2EA5E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AE8D965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28EDF6BD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4C1F6A6E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Automatyczne prowadzenie terapii dawka w czasie. Po wprowadzeniu parametrów dawki i czasu pompa automatycznie obliczy prędkość infuzji.</w:t>
            </w:r>
          </w:p>
        </w:tc>
        <w:tc>
          <w:tcPr>
            <w:tcW w:w="2551" w:type="dxa"/>
            <w:noWrap/>
            <w:hideMark/>
          </w:tcPr>
          <w:p w14:paraId="6C42D985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B9FC22B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C995A67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71E8AF23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0693BB7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Automatyczne przejmowanie infuzji przez kolejną pompę natychmiast po zakończeniu infuzji w poprzedniej  dla pomp pracujących w stacji dokującej</w:t>
            </w:r>
          </w:p>
        </w:tc>
        <w:tc>
          <w:tcPr>
            <w:tcW w:w="2551" w:type="dxa"/>
            <w:noWrap/>
            <w:hideMark/>
          </w:tcPr>
          <w:p w14:paraId="6C8A9CEA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CB2A60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7718627E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722DE9CC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66F22C8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Podjęcie infuzji przez  pompę przejmującą bez konieczności naciskania przycisku START ani jakiegokolwiek innego. </w:t>
            </w:r>
          </w:p>
        </w:tc>
        <w:tc>
          <w:tcPr>
            <w:tcW w:w="2551" w:type="dxa"/>
            <w:noWrap/>
            <w:hideMark/>
          </w:tcPr>
          <w:p w14:paraId="50962D3E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2C52948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47F8D05A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D87741B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07E2538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Przekazywanie parametrów infuzji pomiędzy pompami następuje automatycznie.</w:t>
            </w:r>
          </w:p>
        </w:tc>
        <w:tc>
          <w:tcPr>
            <w:tcW w:w="2551" w:type="dxa"/>
            <w:noWrap/>
            <w:hideMark/>
          </w:tcPr>
          <w:p w14:paraId="1266C776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BFEC5D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AC2E86C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2F5DE137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F95D0A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Pompy podczas pracy w trybie przejęcia są czytelnie opisane symbolami jednoznacznie wskazującymi która pompa prowadzi infuzję a która oczekuje na podjęcie pracy</w:t>
            </w:r>
          </w:p>
        </w:tc>
        <w:tc>
          <w:tcPr>
            <w:tcW w:w="2551" w:type="dxa"/>
            <w:noWrap/>
            <w:hideMark/>
          </w:tcPr>
          <w:p w14:paraId="71715533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23DE85E2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5ECCAB9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125B4F5A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3FFFA8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Programowanie pracy w trybie przejęcie odbywa się z pozycji klawiatury pompy, wykluczając ryzyko pomyłki zaprogramowania niewłaściwej pompy.</w:t>
            </w:r>
          </w:p>
        </w:tc>
        <w:tc>
          <w:tcPr>
            <w:tcW w:w="2551" w:type="dxa"/>
            <w:noWrap/>
            <w:hideMark/>
          </w:tcPr>
          <w:p w14:paraId="1E3BB84F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41A744E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929D405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5829F4BF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C9F1F8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rozszerzenia  oprogramowania o tryb  TCI  (ang. Target Controlled Infusion) </w:t>
            </w:r>
          </w:p>
        </w:tc>
        <w:tc>
          <w:tcPr>
            <w:tcW w:w="2551" w:type="dxa"/>
            <w:noWrap/>
            <w:hideMark/>
          </w:tcPr>
          <w:p w14:paraId="5F8A27BB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223240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12EE9A3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44B7957D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1EEB5C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Tryb TCI z modelami farmakokinetycznymi dla Propofolu, Remifentanyli i Sufentanylu- uruchomiony dla 4 szt</w:t>
            </w:r>
          </w:p>
        </w:tc>
        <w:tc>
          <w:tcPr>
            <w:tcW w:w="2551" w:type="dxa"/>
            <w:noWrap/>
            <w:hideMark/>
          </w:tcPr>
          <w:p w14:paraId="4DC147B3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AE869C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6906DFD5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4FC5CCBC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24C1CD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zastosowania Propofolu różnych </w:t>
            </w:r>
            <w:r w:rsidR="00F95418" w:rsidRPr="0040276C">
              <w:rPr>
                <w:rFonts w:ascii="Century Gothic" w:hAnsi="Century Gothic"/>
                <w:sz w:val="16"/>
                <w:szCs w:val="16"/>
              </w:rPr>
              <w:t>producentów</w:t>
            </w:r>
            <w:r w:rsidRPr="0040276C">
              <w:rPr>
                <w:rFonts w:ascii="Century Gothic" w:hAnsi="Century Gothic"/>
                <w:sz w:val="16"/>
                <w:szCs w:val="16"/>
              </w:rPr>
              <w:t xml:space="preserve"> w stężeniu 0,5%, 1% i 2%. </w:t>
            </w:r>
          </w:p>
        </w:tc>
        <w:tc>
          <w:tcPr>
            <w:tcW w:w="2551" w:type="dxa"/>
            <w:noWrap/>
            <w:hideMark/>
          </w:tcPr>
          <w:p w14:paraId="6CFA5391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A64D33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99C0BDA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47C5D0D6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0AE96F2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Protokół podawania Propofolu, model Marsch oraz Schnider (do wyboru)</w:t>
            </w:r>
          </w:p>
        </w:tc>
        <w:tc>
          <w:tcPr>
            <w:tcW w:w="2551" w:type="dxa"/>
            <w:noWrap/>
            <w:hideMark/>
          </w:tcPr>
          <w:p w14:paraId="3859AA45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62E5EC0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0B732B2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627F7F16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03B677A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zastosowania Remifentanylu różnych producentów w stężeniu 2% i 5%.</w:t>
            </w:r>
          </w:p>
        </w:tc>
        <w:tc>
          <w:tcPr>
            <w:tcW w:w="2551" w:type="dxa"/>
            <w:noWrap/>
            <w:hideMark/>
          </w:tcPr>
          <w:p w14:paraId="11FD9029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47902A65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1795BD9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0F208D84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EE1B2EE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zastosowania Sufentanylu różnych producentów w stężeniu 0,5% i 5%</w:t>
            </w:r>
          </w:p>
        </w:tc>
        <w:tc>
          <w:tcPr>
            <w:tcW w:w="2551" w:type="dxa"/>
            <w:noWrap/>
            <w:hideMark/>
          </w:tcPr>
          <w:p w14:paraId="639A3FB8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2F8B639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B337D34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7C55731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8AED7F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podania dodatkowego bolusa w trakcie trwania terapii TCI . </w:t>
            </w:r>
          </w:p>
        </w:tc>
        <w:tc>
          <w:tcPr>
            <w:tcW w:w="2551" w:type="dxa"/>
            <w:noWrap/>
            <w:hideMark/>
          </w:tcPr>
          <w:p w14:paraId="169F8DE0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21282E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B16EB22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215705B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2283157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prowadzenia znieczulenia zewnątrzoponowego </w:t>
            </w:r>
          </w:p>
        </w:tc>
        <w:tc>
          <w:tcPr>
            <w:tcW w:w="2551" w:type="dxa"/>
            <w:noWrap/>
            <w:hideMark/>
          </w:tcPr>
          <w:p w14:paraId="19DA99B2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2470EF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6D3A056A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29474E7F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2F9B1B2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opcjonalnego rozszerzenia oprogramowania trybu PCA lub zastosowania przycisku pacjenta będącego na wyposażeniu</w:t>
            </w:r>
          </w:p>
        </w:tc>
        <w:tc>
          <w:tcPr>
            <w:tcW w:w="2551" w:type="dxa"/>
            <w:noWrap/>
            <w:hideMark/>
          </w:tcPr>
          <w:p w14:paraId="6C6C9548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CA7D24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74B0F0E4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65EEB2BC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114BC0A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Zakres ciśnienia okluzji od 75 mmHg do 900mmHg, z wyborem na 9 poziomach.</w:t>
            </w:r>
          </w:p>
        </w:tc>
        <w:tc>
          <w:tcPr>
            <w:tcW w:w="2551" w:type="dxa"/>
            <w:noWrap/>
            <w:hideMark/>
          </w:tcPr>
          <w:p w14:paraId="222963F0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28EBAF4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78EDE2A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43164574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487338E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rozszerzenia zakresu ciśnienia okluzji o trzy dodatkowe poziomy 10 mmHg, 30 mmHg, 50 mmHg</w:t>
            </w:r>
          </w:p>
        </w:tc>
        <w:tc>
          <w:tcPr>
            <w:tcW w:w="2551" w:type="dxa"/>
            <w:noWrap/>
            <w:hideMark/>
          </w:tcPr>
          <w:p w14:paraId="075AAD85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3CBF724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6E846476" w14:textId="77777777" w:rsidTr="00F379A3">
        <w:trPr>
          <w:trHeight w:val="1200"/>
        </w:trPr>
        <w:tc>
          <w:tcPr>
            <w:tcW w:w="851" w:type="dxa"/>
            <w:gridSpan w:val="2"/>
            <w:noWrap/>
          </w:tcPr>
          <w:p w14:paraId="5EEDADB9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F2E827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opcjonalnego rozszerzenia oprogramowania o czujnik skoku/spadku ciśnienia w linii - (okluzji i  rozłączenia linii) bez konieczności stosowania specjalnych drenów. Dokładność czujnika skoku/spadku ciśnienia w linii możliwa do ustawienia na trzech poziomach 2mmHg, 8mmHg, 20mmHg</w:t>
            </w:r>
          </w:p>
        </w:tc>
        <w:tc>
          <w:tcPr>
            <w:tcW w:w="2551" w:type="dxa"/>
            <w:noWrap/>
            <w:hideMark/>
          </w:tcPr>
          <w:p w14:paraId="164F535E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C3DEB9A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78006517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680EE3E6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1E49D11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Prezentacja ciągłego pomiaru ciśnienia w linii w formie graficznej.  </w:t>
            </w:r>
          </w:p>
        </w:tc>
        <w:tc>
          <w:tcPr>
            <w:tcW w:w="2551" w:type="dxa"/>
            <w:noWrap/>
            <w:hideMark/>
          </w:tcPr>
          <w:p w14:paraId="10E70D5D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AF8707F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F0874C5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423322F5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ED0F7BB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Funkcja programowania objętości do podania (VTBD) 0,1- 9999 ml</w:t>
            </w:r>
          </w:p>
        </w:tc>
        <w:tc>
          <w:tcPr>
            <w:tcW w:w="2551" w:type="dxa"/>
            <w:noWrap/>
            <w:hideMark/>
          </w:tcPr>
          <w:p w14:paraId="71BC9BE5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6BB58DA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02115A4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2748474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B0A3CA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Funkcja programowania czasu infuzji przynajmniej od 1min – 99:59 godzin</w:t>
            </w:r>
          </w:p>
        </w:tc>
        <w:tc>
          <w:tcPr>
            <w:tcW w:w="2551" w:type="dxa"/>
            <w:noWrap/>
            <w:hideMark/>
          </w:tcPr>
          <w:p w14:paraId="52C54C00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6016F8B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B03C32D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00480F05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774EF82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Funkcja stand-by programowana w zakresie 1 min - 23:59 godz.</w:t>
            </w:r>
          </w:p>
        </w:tc>
        <w:tc>
          <w:tcPr>
            <w:tcW w:w="2551" w:type="dxa"/>
            <w:noWrap/>
            <w:hideMark/>
          </w:tcPr>
          <w:p w14:paraId="0C152D04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236CABB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86AD246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7A636452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20C88D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Pompa przygotowana do rozbudowy o moduł do bezprzewodowej komunikacji pomp z komputerem poza stacją dokującą .</w:t>
            </w:r>
          </w:p>
        </w:tc>
        <w:tc>
          <w:tcPr>
            <w:tcW w:w="2551" w:type="dxa"/>
            <w:noWrap/>
            <w:hideMark/>
          </w:tcPr>
          <w:p w14:paraId="45EB4F7D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6F555A01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47EA641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75118F4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DB2C4C7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W przypadku niewłaściwej dawki 0.1 ml spowodowanej niepoprawnym działaniem urządzenia, pompa wyłączy się automatycznie.</w:t>
            </w:r>
          </w:p>
        </w:tc>
        <w:tc>
          <w:tcPr>
            <w:tcW w:w="2551" w:type="dxa"/>
            <w:noWrap/>
            <w:hideMark/>
          </w:tcPr>
          <w:p w14:paraId="0E33D772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5DCD906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CE28A7D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9BCD4D1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5C3D4185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Alarmy niezbędne do bezpiecznego prowadzenia terapii.</w:t>
            </w:r>
          </w:p>
        </w:tc>
        <w:tc>
          <w:tcPr>
            <w:tcW w:w="2551" w:type="dxa"/>
            <w:noWrap/>
            <w:hideMark/>
          </w:tcPr>
          <w:p w14:paraId="3507853A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7C8EC9D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7C9BA403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69E78C3D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72FBEE27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Menu w języku polskim</w:t>
            </w:r>
          </w:p>
        </w:tc>
        <w:tc>
          <w:tcPr>
            <w:tcW w:w="2551" w:type="dxa"/>
            <w:noWrap/>
            <w:hideMark/>
          </w:tcPr>
          <w:p w14:paraId="45EC40E2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381FB8A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EA3D04B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9F000D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075D651E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Historia pracy obejmująca 3000 wpisów.</w:t>
            </w:r>
          </w:p>
        </w:tc>
        <w:tc>
          <w:tcPr>
            <w:tcW w:w="2551" w:type="dxa"/>
            <w:noWrap/>
            <w:hideMark/>
          </w:tcPr>
          <w:p w14:paraId="24FCF31C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707506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FB54E23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3D7A770E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1E363B9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współpracy z czytnikiem kodów kreskowych</w:t>
            </w:r>
          </w:p>
        </w:tc>
        <w:tc>
          <w:tcPr>
            <w:tcW w:w="2551" w:type="dxa"/>
            <w:noWrap/>
            <w:hideMark/>
          </w:tcPr>
          <w:p w14:paraId="2197D73C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928DD0E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2150DD8E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3983455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C081662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współpracy z systemem do kontrolowanej insulinoterapii będącym na wyposażeniu </w:t>
            </w:r>
            <w:r w:rsidR="00F95418" w:rsidRPr="0040276C">
              <w:rPr>
                <w:rFonts w:ascii="Century Gothic" w:hAnsi="Century Gothic"/>
                <w:sz w:val="16"/>
                <w:szCs w:val="16"/>
              </w:rPr>
              <w:t>Zamawiającego</w:t>
            </w:r>
          </w:p>
        </w:tc>
        <w:tc>
          <w:tcPr>
            <w:tcW w:w="2551" w:type="dxa"/>
            <w:noWrap/>
            <w:hideMark/>
          </w:tcPr>
          <w:p w14:paraId="5D4FB080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53304E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66512B2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365041D1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3FF9AF5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pracy pompy w środowisku MRI - w dedykowanej stacji będącej na wyposażeniu Zamawiającego</w:t>
            </w:r>
          </w:p>
        </w:tc>
        <w:tc>
          <w:tcPr>
            <w:tcW w:w="2551" w:type="dxa"/>
            <w:noWrap/>
            <w:hideMark/>
          </w:tcPr>
          <w:p w14:paraId="68C964B7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129A9D5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EED841E" w14:textId="77777777" w:rsidTr="00F379A3">
        <w:trPr>
          <w:trHeight w:val="870"/>
        </w:trPr>
        <w:tc>
          <w:tcPr>
            <w:tcW w:w="851" w:type="dxa"/>
            <w:gridSpan w:val="2"/>
            <w:noWrap/>
          </w:tcPr>
          <w:p w14:paraId="6E8AE09F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0D8292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Zużycie energii - pobór mocy przez jedną pompę maksymalnie 8VA</w:t>
            </w:r>
          </w:p>
        </w:tc>
        <w:tc>
          <w:tcPr>
            <w:tcW w:w="2551" w:type="dxa"/>
            <w:noWrap/>
            <w:hideMark/>
          </w:tcPr>
          <w:p w14:paraId="5FB06F19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Podać</w:t>
            </w:r>
          </w:p>
        </w:tc>
        <w:tc>
          <w:tcPr>
            <w:tcW w:w="2126" w:type="dxa"/>
            <w:hideMark/>
          </w:tcPr>
          <w:p w14:paraId="0EA3046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Najniższy pobór mocy = 10 pkt. </w:t>
            </w:r>
            <w:r w:rsidRPr="0040276C">
              <w:rPr>
                <w:rFonts w:ascii="Century Gothic" w:hAnsi="Century Gothic"/>
                <w:sz w:val="16"/>
                <w:szCs w:val="16"/>
              </w:rPr>
              <w:br/>
              <w:t>Pozostałe = 0 pkt.</w:t>
            </w:r>
          </w:p>
        </w:tc>
      </w:tr>
      <w:tr w:rsidR="00F379A3" w:rsidRPr="0040276C" w14:paraId="528944CD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18F2476C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21AAA984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276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Stacja dokująca </w:t>
            </w:r>
            <w:r w:rsidR="00A051A2">
              <w:rPr>
                <w:rFonts w:ascii="Century Gothic" w:hAnsi="Century Gothic"/>
                <w:b/>
                <w:bCs/>
                <w:sz w:val="16"/>
                <w:szCs w:val="16"/>
              </w:rPr>
              <w:t>–</w:t>
            </w:r>
            <w:r w:rsidRPr="0040276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  <w:r w:rsidR="00A051A2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5 </w:t>
            </w:r>
            <w:r w:rsidRPr="0040276C">
              <w:rPr>
                <w:rFonts w:ascii="Century Gothic" w:hAnsi="Century Gothic"/>
                <w:b/>
                <w:bCs/>
                <w:sz w:val="16"/>
                <w:szCs w:val="16"/>
              </w:rPr>
              <w:t>szt</w:t>
            </w:r>
            <w:r w:rsidR="00A051A2">
              <w:rPr>
                <w:rFonts w:ascii="Century Gothic" w:hAnsi="Century Gothic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551" w:type="dxa"/>
            <w:noWrap/>
            <w:hideMark/>
          </w:tcPr>
          <w:p w14:paraId="2B35F808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26" w:type="dxa"/>
            <w:noWrap/>
            <w:hideMark/>
          </w:tcPr>
          <w:p w14:paraId="507924E5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3742324" w14:textId="77777777" w:rsidTr="00F379A3">
        <w:trPr>
          <w:trHeight w:val="1200"/>
        </w:trPr>
        <w:tc>
          <w:tcPr>
            <w:tcW w:w="851" w:type="dxa"/>
            <w:gridSpan w:val="2"/>
            <w:noWrap/>
          </w:tcPr>
          <w:p w14:paraId="77213D9E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145CBBC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Stacja dokująca na 4 pomp</w:t>
            </w:r>
            <w:r w:rsidR="00C55CF3">
              <w:rPr>
                <w:rFonts w:ascii="Century Gothic" w:hAnsi="Century Gothic"/>
                <w:sz w:val="16"/>
                <w:szCs w:val="16"/>
              </w:rPr>
              <w:t>y</w:t>
            </w:r>
            <w:r w:rsidRPr="0040276C">
              <w:rPr>
                <w:rFonts w:ascii="Century Gothic" w:hAnsi="Century Gothic"/>
                <w:sz w:val="16"/>
                <w:szCs w:val="16"/>
              </w:rPr>
              <w:t xml:space="preserve"> infuzyjn</w:t>
            </w:r>
            <w:r w:rsidR="00C55CF3">
              <w:rPr>
                <w:rFonts w:ascii="Century Gothic" w:hAnsi="Century Gothic"/>
                <w:sz w:val="16"/>
                <w:szCs w:val="16"/>
              </w:rPr>
              <w:t>e,</w:t>
            </w:r>
            <w:r w:rsidRPr="0040276C">
              <w:rPr>
                <w:rFonts w:ascii="Century Gothic" w:hAnsi="Century Gothic"/>
                <w:sz w:val="16"/>
                <w:szCs w:val="16"/>
              </w:rPr>
              <w:t xml:space="preserve">  która umożliwia mocowanie na stojakach infuzyjnych i pionowych rurach, np. systemach podwieszanych, jak również do poziomych naściennych systemów prowadnic zgodnie z EN 1789 bez konieczności stosowania dodatkowych adapterów lub akcesoriów montażowych </w:t>
            </w:r>
          </w:p>
        </w:tc>
        <w:tc>
          <w:tcPr>
            <w:tcW w:w="2551" w:type="dxa"/>
            <w:noWrap/>
            <w:hideMark/>
          </w:tcPr>
          <w:p w14:paraId="7DA5D684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E238362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13E06254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6974DC11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432B56A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Pokrywa stacji  z uchwytem do przenoszenia modułu  </w:t>
            </w:r>
          </w:p>
        </w:tc>
        <w:tc>
          <w:tcPr>
            <w:tcW w:w="2551" w:type="dxa"/>
            <w:noWrap/>
            <w:hideMark/>
          </w:tcPr>
          <w:p w14:paraId="70A86D1B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086E8B3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67C6A34F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2228E8B7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167470C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System szybkiego mocowania pomp do stacji dokującej bez przerywania przepływu </w:t>
            </w:r>
          </w:p>
        </w:tc>
        <w:tc>
          <w:tcPr>
            <w:tcW w:w="2551" w:type="dxa"/>
            <w:noWrap/>
            <w:hideMark/>
          </w:tcPr>
          <w:p w14:paraId="0C18246B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539DC57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4EF5C9CD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4A740642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020F5C8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dowolnej konfiguracji  min 4 pomp strzykawkowych i objętościowych w stacji dokującej przy każdym stanowisku pacjenta </w:t>
            </w:r>
          </w:p>
        </w:tc>
        <w:tc>
          <w:tcPr>
            <w:tcW w:w="2551" w:type="dxa"/>
            <w:noWrap/>
            <w:hideMark/>
          </w:tcPr>
          <w:p w14:paraId="6B81D165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6E4B046D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4112B29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464B8F38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5BC237B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Mocowanie stacji dokującej do rury pionowej lub poziomej bez dodatkowego oprzyrządowania </w:t>
            </w:r>
          </w:p>
        </w:tc>
        <w:tc>
          <w:tcPr>
            <w:tcW w:w="2551" w:type="dxa"/>
            <w:noWrap/>
            <w:hideMark/>
          </w:tcPr>
          <w:p w14:paraId="44DFBE7F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69BDA4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E947366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11B1902D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63F4BE60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Oprócz mocowania uchwyt do przenoszenia modułu  </w:t>
            </w:r>
          </w:p>
        </w:tc>
        <w:tc>
          <w:tcPr>
            <w:tcW w:w="2551" w:type="dxa"/>
            <w:noWrap/>
            <w:hideMark/>
          </w:tcPr>
          <w:p w14:paraId="3F385346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6EDF7B92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46FDC9D0" w14:textId="77777777" w:rsidTr="00F379A3">
        <w:trPr>
          <w:trHeight w:val="600"/>
        </w:trPr>
        <w:tc>
          <w:tcPr>
            <w:tcW w:w="851" w:type="dxa"/>
            <w:gridSpan w:val="2"/>
            <w:noWrap/>
          </w:tcPr>
          <w:p w14:paraId="701BBE22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735A1363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rozbudowy stacji dokującej i przystosowanie do maximum 24 pomp na stanowisko.  </w:t>
            </w:r>
          </w:p>
        </w:tc>
        <w:tc>
          <w:tcPr>
            <w:tcW w:w="2551" w:type="dxa"/>
            <w:noWrap/>
            <w:hideMark/>
          </w:tcPr>
          <w:p w14:paraId="61A6B2AD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53217E7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380025DB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113412F2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hideMark/>
          </w:tcPr>
          <w:p w14:paraId="15C7945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 xml:space="preserve">Możliwość współpracy z czytnikiem  kodów paskowych .  </w:t>
            </w:r>
          </w:p>
        </w:tc>
        <w:tc>
          <w:tcPr>
            <w:tcW w:w="2551" w:type="dxa"/>
            <w:noWrap/>
            <w:hideMark/>
          </w:tcPr>
          <w:p w14:paraId="2492EA48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33329EBA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F379A3" w:rsidRPr="0040276C" w14:paraId="0F8BE901" w14:textId="77777777" w:rsidTr="00F379A3">
        <w:trPr>
          <w:trHeight w:val="300"/>
        </w:trPr>
        <w:tc>
          <w:tcPr>
            <w:tcW w:w="851" w:type="dxa"/>
            <w:gridSpan w:val="2"/>
            <w:noWrap/>
          </w:tcPr>
          <w:p w14:paraId="78B905B1" w14:textId="77777777" w:rsidR="00F379A3" w:rsidRPr="00F379A3" w:rsidRDefault="00F379A3" w:rsidP="00F379A3">
            <w:pPr>
              <w:pStyle w:val="Akapitzlist"/>
              <w:numPr>
                <w:ilvl w:val="0"/>
                <w:numId w:val="1"/>
              </w:numPr>
              <w:spacing w:line="360" w:lineRule="auto"/>
              <w:ind w:left="447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noWrap/>
            <w:hideMark/>
          </w:tcPr>
          <w:p w14:paraId="6D1C4DE9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Możliwość współpracy z systemem do kontrolowanej insulinoterapii</w:t>
            </w:r>
          </w:p>
        </w:tc>
        <w:tc>
          <w:tcPr>
            <w:tcW w:w="2551" w:type="dxa"/>
            <w:noWrap/>
            <w:hideMark/>
          </w:tcPr>
          <w:p w14:paraId="71E5D229" w14:textId="77777777" w:rsidR="00F379A3" w:rsidRPr="0040276C" w:rsidRDefault="00F379A3" w:rsidP="00A051A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noWrap/>
            <w:hideMark/>
          </w:tcPr>
          <w:p w14:paraId="18BC6C1A" w14:textId="77777777" w:rsidR="00F379A3" w:rsidRPr="0040276C" w:rsidRDefault="00F379A3" w:rsidP="00F379A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276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</w:tbl>
    <w:p w14:paraId="057690C0" w14:textId="77777777" w:rsidR="00EE0AAF" w:rsidRDefault="00EE0AAF" w:rsidP="0040276C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4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678"/>
        <w:gridCol w:w="2552"/>
        <w:gridCol w:w="2126"/>
      </w:tblGrid>
      <w:tr w:rsidR="00F379A3" w:rsidRPr="00F50BF3" w14:paraId="64A8BA8D" w14:textId="77777777" w:rsidTr="00C55CF3">
        <w:trPr>
          <w:trHeight w:val="285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9BD0DF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bookmarkStart w:id="0" w:name="_Hlk211005653"/>
            <w:r w:rsidRPr="00F50BF3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Wymagania dodatkowe </w:t>
            </w:r>
          </w:p>
        </w:tc>
      </w:tr>
      <w:tr w:rsidR="00F379A3" w:rsidRPr="00F50BF3" w14:paraId="390F7B52" w14:textId="77777777" w:rsidTr="00C55CF3">
        <w:trPr>
          <w:trHeight w:val="8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8E43" w14:textId="77777777" w:rsidR="00F379A3" w:rsidRPr="00F50BF3" w:rsidRDefault="00F379A3" w:rsidP="0090325C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36E6A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BCB0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68029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4BEF5EAA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F379A3" w:rsidRPr="00F50BF3" w14:paraId="0E29E680" w14:textId="77777777" w:rsidTr="00C55CF3">
        <w:trPr>
          <w:trHeight w:val="8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AD148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B7E7D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Szkolenie z obsługi dla </w:t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personelu 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 siedzibie Zamawiającego w terminie uzgodnionym z Zamawiającym, przed podpisaniem protokołu odbioru końcowego.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05841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7D18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7A23CE9F" w14:textId="77777777" w:rsidTr="00C55CF3">
        <w:trPr>
          <w:trHeight w:val="2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C7BBD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3E730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, z podpisami osób przeszkolonych,</w:t>
            </w: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bezpośrednio po ich przeprowadzeniu.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8FB12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4CB2F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2D64ACE2" w14:textId="77777777" w:rsidTr="00C55CF3">
        <w:trPr>
          <w:trHeight w:val="24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A900A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4A739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Wykonawca powinien zapewnić co najmniej </w:t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36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 xml:space="preserve">Gwarancja min. </w:t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36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miesiące na urządzenie od daty podpisania przez  strony bezusterkowego protokołu odbioru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36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miesięcy – 0 pkt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42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miesięcy – </w:t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7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pkt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 xml:space="preserve">48 miesięcy – </w:t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15</w:t>
            </w: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pkt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01C82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28928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67558396" w14:textId="77777777" w:rsidTr="00C55CF3">
        <w:trPr>
          <w:trHeight w:val="10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91C6B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3DED5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D0A8B">
              <w:rPr>
                <w:rFonts w:ascii="Century Gothic" w:hAnsi="Century Gothic"/>
                <w:sz w:val="16"/>
                <w:szCs w:val="16"/>
                <w:lang w:eastAsia="zh-CN"/>
              </w:rPr>
              <w:t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</w:t>
            </w: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8606E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827A3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0835FC14" w14:textId="77777777" w:rsidTr="00C55CF3">
        <w:trPr>
          <w:trHeight w:val="8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5F67F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E3A48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EB552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EEA7A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6931B804" w14:textId="77777777" w:rsidTr="00C55CF3">
        <w:trPr>
          <w:trHeight w:val="8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42FC2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8EA90" w14:textId="77777777" w:rsidR="00F379A3" w:rsidRPr="00B671C9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Czas skutecznej naprawy w okresie gwarancyjnym maksimum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7</w:t>
            </w: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dni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kalendarzowych</w:t>
            </w: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B5BEC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23CC2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F50BF3" w14:paraId="7A341F5E" w14:textId="77777777" w:rsidTr="00C55CF3">
        <w:trPr>
          <w:trHeight w:val="8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D4D9E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769EA" w14:textId="77777777" w:rsidR="00F379A3" w:rsidRPr="00B671C9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Czas skutecznej naprawy w okresie gwarancyjnym wymagającej importu części spoza Polski  – maksimum 14 dni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kalendarzowych</w:t>
            </w:r>
            <w:r w:rsidRPr="00B671C9">
              <w:rPr>
                <w:rFonts w:ascii="Century Gothic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6DC5E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1025B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F50BF3" w14:paraId="40E99F50" w14:textId="77777777" w:rsidTr="00C55CF3">
        <w:trPr>
          <w:trHeight w:val="10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44FD6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793CC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W przypadku naprawy trwającej dłużej niż 7 dni kalendarzowych Wykonawca zapewni sprzęt zastępczy o parametrach niegorszych niż oferowany.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D9E6E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3809C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30181267" w14:textId="77777777" w:rsidTr="00C55CF3">
        <w:trPr>
          <w:trHeight w:val="8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A1D8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AB6E2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C6A8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FEA9A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2A68243C" w14:textId="77777777" w:rsidTr="00C55CF3">
        <w:trPr>
          <w:trHeight w:val="54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C805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4300D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Zapewnienie pełnej autoryzowanej obsługi serwisowej przez uprawnioną jednostkę (serwis na terenie Polski) </w:t>
            </w:r>
            <w:r w:rsidRPr="00B671C9">
              <w:rPr>
                <w:rFonts w:ascii="Century Gothic" w:hAnsi="Century Gothic"/>
                <w:sz w:val="16"/>
                <w:szCs w:val="16"/>
              </w:rPr>
              <w:lastRenderedPageBreak/>
              <w:t>gwarantującą skuteczną interwencję techniczną w okresie gwarancyjnym i pogwarancyjnym dla oferowanego sprzętu.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41A18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9ED7A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F50BF3" w14:paraId="2E35467C" w14:textId="77777777" w:rsidTr="00C55CF3">
        <w:trPr>
          <w:trHeight w:val="2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2CD23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4B286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18D6E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B8B22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10988271" w14:textId="77777777" w:rsidTr="00C55CF3">
        <w:trPr>
          <w:trHeight w:val="2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DC030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2D3AA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F25FB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0E686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F50BF3" w14:paraId="02321C5B" w14:textId="77777777" w:rsidTr="00C55CF3">
        <w:trPr>
          <w:trHeight w:val="48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E1EC" w14:textId="77777777" w:rsidR="00F379A3" w:rsidRPr="00F50BF3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7EF66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Dostawa </w:t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– 7 tygodni (zrealizowanie wszystkich postanowień umowy)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82600" w14:textId="77777777" w:rsidR="00F379A3" w:rsidRPr="00F50BF3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690E9" w14:textId="77777777" w:rsidR="00F379A3" w:rsidRPr="00F50BF3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F50BF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671C9" w14:paraId="056E696A" w14:textId="77777777" w:rsidTr="00C55CF3">
        <w:trPr>
          <w:trHeight w:val="4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67D23" w14:textId="77777777" w:rsidR="00F379A3" w:rsidRPr="00D551DE" w:rsidRDefault="00F379A3" w:rsidP="00F379A3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contextualSpacing w:val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B9CC1" w14:textId="77777777" w:rsidR="00F379A3" w:rsidRPr="00D551DE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D551DE">
              <w:rPr>
                <w:rFonts w:ascii="Century Gothic" w:hAnsi="Century Gothic" w:cs="Arial"/>
                <w:color w:val="000000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97E52" w14:textId="77777777" w:rsidR="00F379A3" w:rsidRPr="00D551DE" w:rsidRDefault="00F379A3" w:rsidP="0090325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D551D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FB9F9" w14:textId="77777777" w:rsidR="00F379A3" w:rsidRPr="00D551DE" w:rsidRDefault="00F379A3" w:rsidP="0090325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</w:tbl>
    <w:p w14:paraId="77CEC6D2" w14:textId="77777777" w:rsidR="00F379A3" w:rsidRDefault="00F379A3" w:rsidP="00F379A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3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536"/>
        <w:gridCol w:w="2551"/>
        <w:gridCol w:w="2126"/>
      </w:tblGrid>
      <w:tr w:rsidR="00F379A3" w:rsidRPr="004C03CA" w14:paraId="26194290" w14:textId="77777777" w:rsidTr="00184363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E52C9" w14:textId="77777777" w:rsidR="00F379A3" w:rsidRPr="004C03CA" w:rsidRDefault="00560DA1" w:rsidP="0090325C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bookmarkStart w:id="1" w:name="_Hlk220586180"/>
            <w:r>
              <w:rPr>
                <w:rFonts w:ascii="Century Gothic" w:hAnsi="Century Gothic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4AAC376" w14:textId="77777777" w:rsidR="00F379A3" w:rsidRPr="004C03CA" w:rsidRDefault="00F379A3" w:rsidP="0090325C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C03CA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F379A3" w:rsidRPr="00862C06" w14:paraId="43C4D0F7" w14:textId="77777777" w:rsidTr="00184363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21B46BC" w14:textId="77777777" w:rsidR="00F379A3" w:rsidRPr="00862C06" w:rsidRDefault="00F379A3" w:rsidP="00184363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14:paraId="5B756B85" w14:textId="77777777" w:rsidR="00F379A3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42AAA342" w14:textId="77777777" w:rsidR="00F379A3" w:rsidRPr="00862C06" w:rsidRDefault="00F379A3" w:rsidP="0090325C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74601EE" w14:textId="77777777" w:rsidR="00F379A3" w:rsidRPr="00AB22D5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62C06" w14:paraId="269C85BA" w14:textId="77777777" w:rsidTr="00184363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709174D6" w14:textId="77777777" w:rsidR="00F379A3" w:rsidRPr="00862C06" w:rsidRDefault="00F379A3" w:rsidP="00F379A3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73C1F2B" w14:textId="77777777" w:rsidR="00F379A3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78847DF9" w14:textId="77777777" w:rsidR="00F379A3" w:rsidRPr="00862C06" w:rsidRDefault="00F379A3" w:rsidP="0090325C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0DE1B2FE" w14:textId="77777777" w:rsidR="00F379A3" w:rsidRPr="00AB22D5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62C06" w14:paraId="551A31D1" w14:textId="77777777" w:rsidTr="00184363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5DC30709" w14:textId="77777777" w:rsidR="00F379A3" w:rsidRPr="00862C06" w:rsidRDefault="00F379A3" w:rsidP="00F379A3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DF1D5A3" w14:textId="77777777" w:rsidR="00F379A3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619DA13C" w14:textId="77777777" w:rsidR="00F379A3" w:rsidRDefault="00F379A3" w:rsidP="0090325C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73F5E86" w14:textId="77777777" w:rsidR="00F379A3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62C06" w14:paraId="266A7F4B" w14:textId="77777777" w:rsidTr="00184363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68F5F192" w14:textId="77777777" w:rsidR="00F379A3" w:rsidRPr="00862C06" w:rsidRDefault="00F379A3" w:rsidP="00F379A3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E41554A" w14:textId="77777777" w:rsidR="00F379A3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6B71DD42" w14:textId="77777777" w:rsidR="00F379A3" w:rsidRDefault="00F379A3" w:rsidP="0090325C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0A4223F7" w14:textId="77777777" w:rsidR="00F379A3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62C06" w14:paraId="6EEC7ED0" w14:textId="77777777" w:rsidTr="00184363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5EA21B70" w14:textId="77777777" w:rsidR="00F379A3" w:rsidRPr="00862C06" w:rsidRDefault="00F379A3" w:rsidP="00F379A3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2432338" w14:textId="77777777" w:rsidR="00F379A3" w:rsidRDefault="00F95418" w:rsidP="0090325C">
            <w:pPr>
              <w:spacing w:line="360" w:lineRule="auto"/>
              <w:rPr>
                <w:rFonts w:ascii="Century Gothic" w:hAnsi="Century Gothic"/>
                <w:strike/>
                <w:color w:val="EE0000"/>
                <w:sz w:val="16"/>
                <w:szCs w:val="16"/>
              </w:rPr>
            </w:pPr>
            <w:r w:rsidRPr="007331B7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Deklaracja</w:t>
            </w:r>
            <w:r w:rsidR="00F379A3" w:rsidRPr="007331B7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 xml:space="preserve"> środowiskowa produktu (EPD) lub równoważnego dokumentu potwierdzająca niski ślad węglowy</w:t>
            </w:r>
          </w:p>
          <w:p w14:paraId="0C038490" w14:textId="7CF2AEB1" w:rsidR="007331B7" w:rsidRPr="007331B7" w:rsidRDefault="007331B7" w:rsidP="0090325C">
            <w:pPr>
              <w:spacing w:line="360" w:lineRule="auto"/>
              <w:rPr>
                <w:rFonts w:ascii="Century Gothic" w:hAnsi="Century Gothic"/>
                <w:color w:val="EE0000"/>
                <w:sz w:val="16"/>
                <w:szCs w:val="16"/>
              </w:rPr>
            </w:pPr>
            <w:r>
              <w:rPr>
                <w:rFonts w:ascii="Century Gothic" w:hAnsi="Century Gothic"/>
                <w:color w:val="EE0000"/>
                <w:sz w:val="16"/>
                <w:szCs w:val="16"/>
              </w:rPr>
              <w:t>O</w:t>
            </w:r>
            <w:r w:rsidRPr="007331B7">
              <w:rPr>
                <w:rFonts w:ascii="Century Gothic" w:hAnsi="Century Gothic"/>
                <w:color w:val="EE0000"/>
                <w:sz w:val="16"/>
                <w:szCs w:val="16"/>
              </w:rPr>
              <w:t>świadczeni</w:t>
            </w:r>
            <w:r w:rsidR="005E326D">
              <w:rPr>
                <w:rFonts w:ascii="Century Gothic" w:hAnsi="Century Gothic"/>
                <w:color w:val="EE0000"/>
                <w:sz w:val="16"/>
                <w:szCs w:val="16"/>
              </w:rPr>
              <w:t>e</w:t>
            </w:r>
            <w:r w:rsidRPr="007331B7">
              <w:rPr>
                <w:rFonts w:ascii="Century Gothic" w:hAnsi="Century Gothic"/>
                <w:color w:val="EE0000"/>
                <w:sz w:val="16"/>
                <w:szCs w:val="16"/>
              </w:rPr>
              <w:t xml:space="preserve"> producenta o zgodności oferowanego sprzętu z zasadą DNSH</w:t>
            </w:r>
          </w:p>
        </w:tc>
        <w:tc>
          <w:tcPr>
            <w:tcW w:w="2551" w:type="dxa"/>
            <w:vAlign w:val="center"/>
          </w:tcPr>
          <w:p w14:paraId="7E0138DD" w14:textId="77777777" w:rsidR="00F379A3" w:rsidRDefault="00F379A3" w:rsidP="0090325C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0FEF6B1A" w14:textId="77777777" w:rsidR="00F379A3" w:rsidRPr="00AB22D5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62C06" w14:paraId="338B6E96" w14:textId="77777777" w:rsidTr="00184363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01C9DE83" w14:textId="77777777" w:rsidR="00F379A3" w:rsidRPr="00862C06" w:rsidRDefault="00F379A3" w:rsidP="00F379A3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869FF43" w14:textId="77777777" w:rsidR="00F379A3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Oświadczenie potwierdzające zgodność z dyrektywą RoHS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5572859B" w14:textId="77777777" w:rsidR="00F379A3" w:rsidRDefault="00F379A3" w:rsidP="0090325C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57C7B1B" w14:textId="77777777" w:rsidR="00F379A3" w:rsidRPr="00AB22D5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62C06" w14:paraId="1AA5B637" w14:textId="77777777" w:rsidTr="00184363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071E37AE" w14:textId="77777777" w:rsidR="00F379A3" w:rsidRPr="00862C06" w:rsidRDefault="00F379A3" w:rsidP="00F379A3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D4AB0C1" w14:textId="77777777" w:rsidR="00F379A3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256BABD7" w14:textId="77777777" w:rsidR="00F379A3" w:rsidRDefault="00F379A3" w:rsidP="0090325C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EAC14C6" w14:textId="77777777" w:rsidR="00F379A3" w:rsidRPr="00AB22D5" w:rsidRDefault="00F379A3" w:rsidP="0090325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bookmarkEnd w:id="1"/>
    </w:tbl>
    <w:p w14:paraId="624C1DFE" w14:textId="77777777" w:rsidR="00F379A3" w:rsidRDefault="00F379A3" w:rsidP="00F379A3">
      <w:pPr>
        <w:rPr>
          <w:rFonts w:ascii="Century Gothic" w:hAnsi="Century Gothic"/>
          <w:b/>
          <w:sz w:val="16"/>
          <w:szCs w:val="16"/>
        </w:rPr>
      </w:pPr>
    </w:p>
    <w:p w14:paraId="1D277417" w14:textId="77777777" w:rsidR="00F379A3" w:rsidRPr="009137C3" w:rsidRDefault="00F379A3" w:rsidP="00F379A3">
      <w:pPr>
        <w:rPr>
          <w:rFonts w:ascii="Century Gothic" w:hAnsi="Century Gothic"/>
          <w:b/>
          <w:sz w:val="16"/>
          <w:szCs w:val="16"/>
        </w:rPr>
      </w:pPr>
      <w:r w:rsidRPr="009137C3">
        <w:rPr>
          <w:rFonts w:ascii="Century Gothic" w:hAnsi="Century Gothic"/>
          <w:b/>
          <w:sz w:val="16"/>
          <w:szCs w:val="16"/>
        </w:rPr>
        <w:t xml:space="preserve">SUMA punktów </w:t>
      </w:r>
      <w:r w:rsidR="003A26FD">
        <w:rPr>
          <w:rFonts w:ascii="Century Gothic" w:hAnsi="Century Gothic"/>
          <w:b/>
          <w:sz w:val="16"/>
          <w:szCs w:val="16"/>
        </w:rPr>
        <w:t>2</w:t>
      </w:r>
      <w:r w:rsidRPr="009137C3">
        <w:rPr>
          <w:rFonts w:ascii="Century Gothic" w:hAnsi="Century Gothic"/>
          <w:b/>
          <w:sz w:val="16"/>
          <w:szCs w:val="16"/>
        </w:rPr>
        <w:t>0.</w:t>
      </w:r>
    </w:p>
    <w:p w14:paraId="0D9D4F87" w14:textId="77777777" w:rsidR="00F379A3" w:rsidRDefault="00F379A3" w:rsidP="00F379A3">
      <w:pPr>
        <w:pStyle w:val="Bezodstpw"/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26BC5997" w14:textId="77777777" w:rsidR="008C39DC" w:rsidRDefault="008C39DC" w:rsidP="00F379A3">
      <w:pPr>
        <w:pStyle w:val="Bezodstpw"/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67BA28B2" w14:textId="77777777" w:rsidR="008C39DC" w:rsidRDefault="008C39DC" w:rsidP="00F379A3">
      <w:pPr>
        <w:pStyle w:val="Bezodstpw"/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12A91327" w14:textId="77777777" w:rsidR="008C39DC" w:rsidRPr="009137C3" w:rsidRDefault="008C39DC" w:rsidP="00F379A3">
      <w:pPr>
        <w:pStyle w:val="Bezodstpw"/>
        <w:spacing w:line="360" w:lineRule="auto"/>
        <w:rPr>
          <w:rFonts w:ascii="Century Gothic" w:hAnsi="Century Gothic"/>
          <w:b/>
          <w:sz w:val="16"/>
          <w:szCs w:val="16"/>
        </w:rPr>
      </w:pPr>
    </w:p>
    <w:tbl>
      <w:tblPr>
        <w:tblW w:w="103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851"/>
        <w:gridCol w:w="567"/>
        <w:gridCol w:w="1276"/>
        <w:gridCol w:w="1275"/>
        <w:gridCol w:w="851"/>
        <w:gridCol w:w="1276"/>
        <w:gridCol w:w="11"/>
        <w:gridCol w:w="1548"/>
        <w:gridCol w:w="11"/>
      </w:tblGrid>
      <w:tr w:rsidR="008C39DC" w:rsidRPr="008C39DC" w14:paraId="560F3C64" w14:textId="77777777" w:rsidTr="008C39DC">
        <w:trPr>
          <w:gridAfter w:val="1"/>
          <w:wAfter w:w="11" w:type="dxa"/>
        </w:trPr>
        <w:tc>
          <w:tcPr>
            <w:tcW w:w="2694" w:type="dxa"/>
            <w:gridSpan w:val="2"/>
          </w:tcPr>
          <w:p w14:paraId="09C7CD39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851" w:type="dxa"/>
          </w:tcPr>
          <w:p w14:paraId="5118C378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567" w:type="dxa"/>
          </w:tcPr>
          <w:p w14:paraId="3E0FC289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276" w:type="dxa"/>
          </w:tcPr>
          <w:p w14:paraId="7DA6E9D7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275" w:type="dxa"/>
          </w:tcPr>
          <w:p w14:paraId="0765E8C7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851" w:type="dxa"/>
          </w:tcPr>
          <w:p w14:paraId="6B9FBD95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276" w:type="dxa"/>
          </w:tcPr>
          <w:p w14:paraId="6A38EC2C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559" w:type="dxa"/>
            <w:gridSpan w:val="2"/>
          </w:tcPr>
          <w:p w14:paraId="24C93551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8C39DC" w:rsidRPr="008C39DC" w14:paraId="4FA11977" w14:textId="77777777" w:rsidTr="008C39DC">
        <w:tc>
          <w:tcPr>
            <w:tcW w:w="568" w:type="dxa"/>
          </w:tcPr>
          <w:p w14:paraId="218CAB9C" w14:textId="77777777" w:rsidR="008C39DC" w:rsidRPr="008C39DC" w:rsidRDefault="008C39DC" w:rsidP="008C39DC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2126" w:type="dxa"/>
          </w:tcPr>
          <w:p w14:paraId="2CA04D00" w14:textId="2A166971" w:rsidR="008C39DC" w:rsidRPr="008C39DC" w:rsidRDefault="008C39DC" w:rsidP="008C39DC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ascii="Century Gothic" w:hAnsi="Century Gothic"/>
                <w:b/>
                <w:bCs/>
                <w:kern w:val="0"/>
                <w:sz w:val="16"/>
                <w:szCs w:val="16"/>
                <w14:ligatures w14:val="none"/>
              </w:rPr>
              <w:t>Zestaw 20 Pomp infuzyjnych jednostrzykawkowych ze stacjami dokującymi</w:t>
            </w:r>
          </w:p>
        </w:tc>
        <w:tc>
          <w:tcPr>
            <w:tcW w:w="851" w:type="dxa"/>
          </w:tcPr>
          <w:p w14:paraId="1CB6BDDD" w14:textId="304A58DD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zestaw</w:t>
            </w:r>
          </w:p>
        </w:tc>
        <w:tc>
          <w:tcPr>
            <w:tcW w:w="567" w:type="dxa"/>
          </w:tcPr>
          <w:p w14:paraId="299E77FE" w14:textId="71C5DFC1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1276" w:type="dxa"/>
          </w:tcPr>
          <w:p w14:paraId="3F6E014C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5" w:type="dxa"/>
          </w:tcPr>
          <w:p w14:paraId="7A349906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1" w:type="dxa"/>
          </w:tcPr>
          <w:p w14:paraId="4EDF61E8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87" w:type="dxa"/>
            <w:gridSpan w:val="2"/>
          </w:tcPr>
          <w:p w14:paraId="6ABBDC51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559" w:type="dxa"/>
            <w:gridSpan w:val="2"/>
          </w:tcPr>
          <w:p w14:paraId="440003DD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  <w:tr w:rsidR="008C39DC" w:rsidRPr="008C39DC" w14:paraId="4638E3EA" w14:textId="77777777" w:rsidTr="008C39DC">
        <w:trPr>
          <w:gridAfter w:val="1"/>
          <w:wAfter w:w="11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ABE72" w14:textId="77777777" w:rsidR="008C39DC" w:rsidRPr="008C39DC" w:rsidRDefault="008C39DC" w:rsidP="008C39DC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1a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21EA" w14:textId="7372A6B4" w:rsidR="008C39DC" w:rsidRPr="008C39DC" w:rsidRDefault="008C39DC" w:rsidP="008C39DC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ascii="Century Gothic" w:hAnsi="Century Gothic"/>
                <w:b/>
                <w:kern w:val="0"/>
                <w:sz w:val="16"/>
                <w:szCs w:val="16"/>
                <w14:ligatures w14:val="none"/>
              </w:rPr>
              <w:t>Stacja dokująca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C347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809D" w14:textId="06E7555F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8F0C2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27B5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0D71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74DA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B001" w14:textId="77777777" w:rsidR="008C39DC" w:rsidRPr="008C39DC" w:rsidRDefault="008C39DC" w:rsidP="008C39D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568"/>
        <w:gridCol w:w="2126"/>
        <w:gridCol w:w="851"/>
        <w:gridCol w:w="567"/>
        <w:gridCol w:w="1276"/>
        <w:gridCol w:w="1275"/>
        <w:gridCol w:w="851"/>
        <w:gridCol w:w="1276"/>
        <w:gridCol w:w="1559"/>
      </w:tblGrid>
      <w:tr w:rsidR="008C39DC" w:rsidRPr="008C39DC" w14:paraId="31C637D8" w14:textId="77777777" w:rsidTr="008C39DC">
        <w:tc>
          <w:tcPr>
            <w:tcW w:w="568" w:type="dxa"/>
          </w:tcPr>
          <w:p w14:paraId="09D1CEFE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2126" w:type="dxa"/>
          </w:tcPr>
          <w:p w14:paraId="50FE9E52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xxxxxxxxxxxx</w:t>
            </w:r>
          </w:p>
        </w:tc>
        <w:tc>
          <w:tcPr>
            <w:tcW w:w="851" w:type="dxa"/>
          </w:tcPr>
          <w:p w14:paraId="530C8488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567" w:type="dxa"/>
          </w:tcPr>
          <w:p w14:paraId="22453FF5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55B358B8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</w:t>
            </w:r>
          </w:p>
        </w:tc>
        <w:tc>
          <w:tcPr>
            <w:tcW w:w="1275" w:type="dxa"/>
          </w:tcPr>
          <w:p w14:paraId="5C5F65F5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851" w:type="dxa"/>
          </w:tcPr>
          <w:p w14:paraId="52D73D0C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264DD56B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559" w:type="dxa"/>
          </w:tcPr>
          <w:p w14:paraId="13013E78" w14:textId="77777777" w:rsidR="008C39DC" w:rsidRPr="008C39DC" w:rsidRDefault="008C39DC" w:rsidP="008C39DC">
            <w:pPr>
              <w:spacing w:line="360" w:lineRule="auto"/>
              <w:jc w:val="center"/>
              <w:rPr>
                <w:rFonts w:ascii="Century Gothic" w:eastAsia="Calibri" w:hAnsi="Century Gothic" w:cs="Arial"/>
                <w:b/>
                <w:bCs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1C59206E" w14:textId="77777777" w:rsidR="008C39DC" w:rsidRPr="008C39DC" w:rsidRDefault="008C39DC" w:rsidP="008C39DC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223DCFF7" w14:textId="77777777" w:rsidR="008C39DC" w:rsidRPr="008C39DC" w:rsidRDefault="008C39DC" w:rsidP="008C39DC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</w:p>
    <w:p w14:paraId="385FEC74" w14:textId="77777777" w:rsidR="008C39DC" w:rsidRPr="008C39DC" w:rsidRDefault="008C39DC" w:rsidP="008C39DC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8C39DC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52FF010C" w14:textId="77777777" w:rsidR="008C39DC" w:rsidRPr="008C39DC" w:rsidRDefault="008C39DC" w:rsidP="008C39DC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2" w:name="_Hlk65832846"/>
      <w:r w:rsidRPr="008C39DC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1BD7FA36" w14:textId="77777777" w:rsidR="008C39DC" w:rsidRPr="008C39DC" w:rsidRDefault="008C39DC" w:rsidP="008C39DC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8C39DC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bookmarkEnd w:id="2"/>
    <w:p w14:paraId="3843B897" w14:textId="77777777" w:rsidR="008C39DC" w:rsidRDefault="008C39DC" w:rsidP="00F379A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09678E51" w14:textId="77777777" w:rsidR="008C39DC" w:rsidRDefault="008C39DC" w:rsidP="00F379A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6700B838" w14:textId="64CB634F" w:rsidR="00F379A3" w:rsidRPr="00F50BF3" w:rsidRDefault="00F379A3" w:rsidP="008C39DC">
      <w:pPr>
        <w:pStyle w:val="Bezodstpw"/>
        <w:spacing w:line="360" w:lineRule="auto"/>
        <w:ind w:left="-426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21A835CE" w14:textId="77777777" w:rsidR="00F379A3" w:rsidRPr="00F50BF3" w:rsidRDefault="00F379A3" w:rsidP="008C39DC">
      <w:pPr>
        <w:pStyle w:val="Bezodstpw"/>
        <w:spacing w:line="360" w:lineRule="auto"/>
        <w:ind w:left="-426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>1.</w:t>
      </w:r>
      <w:r w:rsidRPr="00F50BF3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4D24E42C" w14:textId="77777777" w:rsidR="00F379A3" w:rsidRPr="00F50BF3" w:rsidRDefault="00F379A3" w:rsidP="008C39DC">
      <w:pPr>
        <w:pStyle w:val="Bezodstpw"/>
        <w:spacing w:line="360" w:lineRule="auto"/>
        <w:ind w:left="-426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>2.</w:t>
      </w:r>
      <w:r w:rsidRPr="00F50BF3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B5238A3" w14:textId="77777777" w:rsidR="00F379A3" w:rsidRPr="00F50BF3" w:rsidRDefault="00F379A3" w:rsidP="00F379A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</w:p>
    <w:p w14:paraId="3EF330B7" w14:textId="77777777" w:rsidR="008C39DC" w:rsidRDefault="00F379A3" w:rsidP="00F379A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</w:p>
    <w:p w14:paraId="39DB60D5" w14:textId="77777777" w:rsidR="008C39DC" w:rsidRDefault="008C39DC" w:rsidP="00F379A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3C539816" w14:textId="12A0B20D" w:rsidR="00F379A3" w:rsidRPr="00F50BF3" w:rsidRDefault="00F379A3" w:rsidP="008C39DC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6DFE59C8" w14:textId="77777777" w:rsidR="00F379A3" w:rsidRPr="00F50BF3" w:rsidRDefault="00F379A3" w:rsidP="00F379A3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  <w:t>Podpis Wykonawc</w:t>
      </w:r>
      <w:bookmarkEnd w:id="0"/>
      <w:r>
        <w:rPr>
          <w:rFonts w:ascii="Century Gothic" w:hAnsi="Century Gothic"/>
          <w:sz w:val="16"/>
          <w:szCs w:val="16"/>
        </w:rPr>
        <w:t>y</w:t>
      </w:r>
    </w:p>
    <w:p w14:paraId="51C74D09" w14:textId="77777777" w:rsidR="00F379A3" w:rsidRPr="00F50BF3" w:rsidRDefault="00F379A3" w:rsidP="00F379A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5E32404" w14:textId="77777777" w:rsidR="00F379A3" w:rsidRPr="005549BB" w:rsidRDefault="00F379A3" w:rsidP="00F379A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5E98DCF" w14:textId="77777777" w:rsidR="00F379A3" w:rsidRPr="005549BB" w:rsidRDefault="00F379A3" w:rsidP="00F379A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BF22EAA" w14:textId="77777777" w:rsidR="00F379A3" w:rsidRPr="0040276C" w:rsidRDefault="00F379A3" w:rsidP="0040276C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F379A3" w:rsidRPr="0040276C" w:rsidSect="0040276C">
      <w:headerReference w:type="default" r:id="rId7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C2FDF" w14:textId="77777777" w:rsidR="005C5BD1" w:rsidRDefault="005C5BD1" w:rsidP="0040276C">
      <w:pPr>
        <w:spacing w:after="0" w:line="240" w:lineRule="auto"/>
      </w:pPr>
      <w:r>
        <w:separator/>
      </w:r>
    </w:p>
  </w:endnote>
  <w:endnote w:type="continuationSeparator" w:id="0">
    <w:p w14:paraId="765EA5CE" w14:textId="77777777" w:rsidR="005C5BD1" w:rsidRDefault="005C5BD1" w:rsidP="0040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FB9B5" w14:textId="77777777" w:rsidR="005C5BD1" w:rsidRDefault="005C5BD1" w:rsidP="0040276C">
      <w:pPr>
        <w:spacing w:after="0" w:line="240" w:lineRule="auto"/>
      </w:pPr>
      <w:r>
        <w:separator/>
      </w:r>
    </w:p>
  </w:footnote>
  <w:footnote w:type="continuationSeparator" w:id="0">
    <w:p w14:paraId="00A4064E" w14:textId="77777777" w:rsidR="005C5BD1" w:rsidRDefault="005C5BD1" w:rsidP="0040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72C00" w14:textId="77777777" w:rsidR="0040276C" w:rsidRDefault="0040276C">
    <w:pPr>
      <w:pStyle w:val="Nagwek"/>
    </w:pPr>
    <w:r w:rsidRPr="00006301">
      <w:rPr>
        <w:noProof/>
      </w:rPr>
      <w:drawing>
        <wp:inline distT="0" distB="0" distL="0" distR="0" wp14:anchorId="6180EFD0" wp14:editId="2A7CE61D">
          <wp:extent cx="5760720" cy="738505"/>
          <wp:effectExtent l="0" t="0" r="0" b="444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7953"/>
    <w:multiLevelType w:val="singleLevel"/>
    <w:tmpl w:val="B614D148"/>
    <w:lvl w:ilvl="0">
      <w:start w:val="9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 w15:restartNumberingAfterBreak="0">
    <w:nsid w:val="51B304F4"/>
    <w:multiLevelType w:val="hybridMultilevel"/>
    <w:tmpl w:val="70B2F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420C5C"/>
    <w:multiLevelType w:val="hybridMultilevel"/>
    <w:tmpl w:val="4E884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7888885">
    <w:abstractNumId w:val="1"/>
  </w:num>
  <w:num w:numId="2" w16cid:durableId="370498310">
    <w:abstractNumId w:val="2"/>
  </w:num>
  <w:num w:numId="3" w16cid:durableId="1481461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63C"/>
    <w:rsid w:val="000C6E5E"/>
    <w:rsid w:val="00110D26"/>
    <w:rsid w:val="00184363"/>
    <w:rsid w:val="00194741"/>
    <w:rsid w:val="003A26FD"/>
    <w:rsid w:val="003B7FBB"/>
    <w:rsid w:val="0040276C"/>
    <w:rsid w:val="0047363C"/>
    <w:rsid w:val="00560DA1"/>
    <w:rsid w:val="005970B2"/>
    <w:rsid w:val="005C5BD1"/>
    <w:rsid w:val="005E326D"/>
    <w:rsid w:val="00661320"/>
    <w:rsid w:val="007331B7"/>
    <w:rsid w:val="00774697"/>
    <w:rsid w:val="00784CD3"/>
    <w:rsid w:val="007F0127"/>
    <w:rsid w:val="00854C5A"/>
    <w:rsid w:val="00856DBB"/>
    <w:rsid w:val="00865BA4"/>
    <w:rsid w:val="008C39DC"/>
    <w:rsid w:val="009370BB"/>
    <w:rsid w:val="00957C13"/>
    <w:rsid w:val="00962C14"/>
    <w:rsid w:val="009D66C5"/>
    <w:rsid w:val="009E12E1"/>
    <w:rsid w:val="00A051A2"/>
    <w:rsid w:val="00A83984"/>
    <w:rsid w:val="00B401C6"/>
    <w:rsid w:val="00BB4E08"/>
    <w:rsid w:val="00C10960"/>
    <w:rsid w:val="00C26E50"/>
    <w:rsid w:val="00C55CF3"/>
    <w:rsid w:val="00CC2C96"/>
    <w:rsid w:val="00DC6AF6"/>
    <w:rsid w:val="00E032E7"/>
    <w:rsid w:val="00E40FE7"/>
    <w:rsid w:val="00EE0AAF"/>
    <w:rsid w:val="00F379A3"/>
    <w:rsid w:val="00F9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FB498C9"/>
  <w15:chartTrackingRefBased/>
  <w15:docId w15:val="{3B6D2FFB-F848-4932-A6F0-1B525410A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276C"/>
  </w:style>
  <w:style w:type="paragraph" w:styleId="Stopka">
    <w:name w:val="footer"/>
    <w:basedOn w:val="Normalny"/>
    <w:link w:val="Stopka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276C"/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F379A3"/>
    <w:pPr>
      <w:ind w:left="720"/>
      <w:contextualSpacing/>
    </w:pPr>
  </w:style>
  <w:style w:type="paragraph" w:styleId="Bezodstpw">
    <w:name w:val="No Spacing"/>
    <w:uiPriority w:val="1"/>
    <w:qFormat/>
    <w:rsid w:val="00F379A3"/>
    <w:pPr>
      <w:spacing w:after="0" w:line="240" w:lineRule="auto"/>
      <w:jc w:val="both"/>
    </w:pPr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F379A3"/>
  </w:style>
  <w:style w:type="paragraph" w:styleId="Tekstdymka">
    <w:name w:val="Balloon Text"/>
    <w:basedOn w:val="Normalny"/>
    <w:link w:val="TekstdymkaZnak"/>
    <w:uiPriority w:val="99"/>
    <w:semiHidden/>
    <w:unhideWhenUsed/>
    <w:rsid w:val="007746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46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1784</Words>
  <Characters>10708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7</cp:revision>
  <cp:lastPrinted>2026-02-09T13:55:00Z</cp:lastPrinted>
  <dcterms:created xsi:type="dcterms:W3CDTF">2026-02-10T13:19:00Z</dcterms:created>
  <dcterms:modified xsi:type="dcterms:W3CDTF">2026-02-24T11:31:00Z</dcterms:modified>
</cp:coreProperties>
</file>