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619D" w14:textId="77777777" w:rsidR="0077429B" w:rsidRPr="008C39DC" w:rsidRDefault="0077429B" w:rsidP="0077429B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7B297DE6" w14:textId="2FB0B82A" w:rsidR="0077429B" w:rsidRPr="00102403" w:rsidRDefault="00102403" w:rsidP="00102403">
      <w:pPr>
        <w:spacing w:line="360" w:lineRule="auto"/>
        <w:jc w:val="center"/>
        <w:rPr>
          <w:rFonts w:ascii="Century Gothic" w:hAnsi="Century Gothic" w:cstheme="minorHAnsi"/>
          <w:b/>
          <w:bCs/>
          <w:color w:val="EE0000"/>
          <w:sz w:val="16"/>
          <w:szCs w:val="16"/>
        </w:rPr>
      </w:pPr>
      <w:r>
        <w:rPr>
          <w:rFonts w:ascii="Century Gothic" w:hAnsi="Century Gothic" w:cstheme="minorHAnsi"/>
          <w:b/>
          <w:bCs/>
          <w:color w:val="EE0000"/>
          <w:sz w:val="16"/>
          <w:szCs w:val="16"/>
        </w:rPr>
        <w:t>MODYFIKACJA z dnia 24.02.2026 r.</w:t>
      </w:r>
    </w:p>
    <w:p w14:paraId="0213F720" w14:textId="427E1CF3" w:rsidR="0040276C" w:rsidRPr="00BF60C5" w:rsidRDefault="0040276C" w:rsidP="0077429B">
      <w:pPr>
        <w:spacing w:line="360" w:lineRule="auto"/>
        <w:ind w:left="-284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BF60C5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315F0858" w14:textId="77777777" w:rsidR="0040276C" w:rsidRPr="00BF60C5" w:rsidRDefault="00F379A3" w:rsidP="0077429B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BF60C5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BF60C5" w:rsidRPr="00BF60C5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2</w:t>
      </w:r>
    </w:p>
    <w:p w14:paraId="25CFEFA3" w14:textId="77777777" w:rsidR="00F379A3" w:rsidRPr="00BF60C5" w:rsidRDefault="00F379A3" w:rsidP="0077429B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529079F" w14:textId="77777777" w:rsidR="0040276C" w:rsidRPr="00BF60C5" w:rsidRDefault="0040276C" w:rsidP="0077429B">
      <w:pPr>
        <w:spacing w:after="0" w:line="360" w:lineRule="auto"/>
        <w:ind w:left="-284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Pomp</w:t>
      </w:r>
      <w:r w:rsidR="00BF60C5" w:rsidRPr="00BF60C5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y</w:t>
      </w: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infuzyjn</w:t>
      </w:r>
      <w:r w:rsidR="00BF60C5" w:rsidRPr="00BF60C5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e</w:t>
      </w:r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40276C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jednostrzykawkow</w:t>
      </w:r>
      <w:r w:rsidR="00BF60C5" w:rsidRPr="00BF60C5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e</w:t>
      </w:r>
      <w:proofErr w:type="spellEnd"/>
      <w:r w:rsidR="00BF60C5" w:rsidRPr="00BF60C5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– 17 szt.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BF60C5" w14:paraId="6BC84A0C" w14:textId="77777777" w:rsidTr="00BF60C5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2A1E96C4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728A9BFE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4A8F585B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783D8946" w14:textId="77777777" w:rsidR="0040276C" w:rsidRPr="00BF60C5" w:rsidRDefault="0040276C" w:rsidP="00BF60C5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BF60C5" w14:paraId="55612B0F" w14:textId="77777777" w:rsidTr="00BF60C5">
        <w:trPr>
          <w:trHeight w:val="372"/>
        </w:trPr>
        <w:tc>
          <w:tcPr>
            <w:tcW w:w="9923" w:type="dxa"/>
            <w:gridSpan w:val="5"/>
            <w:noWrap/>
            <w:vAlign w:val="center"/>
            <w:hideMark/>
          </w:tcPr>
          <w:p w14:paraId="7DCDA5DE" w14:textId="77777777" w:rsidR="0040276C" w:rsidRPr="00BF60C5" w:rsidRDefault="0040276C" w:rsidP="00BF60C5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F60C5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BF60C5" w14:paraId="0D2E1CAB" w14:textId="77777777" w:rsidTr="00BF60C5">
        <w:trPr>
          <w:trHeight w:val="203"/>
        </w:trPr>
        <w:tc>
          <w:tcPr>
            <w:tcW w:w="851" w:type="dxa"/>
            <w:gridSpan w:val="2"/>
            <w:noWrap/>
            <w:vAlign w:val="center"/>
          </w:tcPr>
          <w:p w14:paraId="0BBDD092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0BF716A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212CE58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26F26B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0E0A0AD8" w14:textId="77777777" w:rsidTr="00BF60C5">
        <w:trPr>
          <w:trHeight w:val="406"/>
        </w:trPr>
        <w:tc>
          <w:tcPr>
            <w:tcW w:w="851" w:type="dxa"/>
            <w:gridSpan w:val="2"/>
            <w:noWrap/>
            <w:vAlign w:val="center"/>
          </w:tcPr>
          <w:p w14:paraId="3D0E9733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3CB5983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5B35FC8F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4126F17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78BD1449" w14:textId="77777777" w:rsidTr="00BF60C5">
        <w:trPr>
          <w:trHeight w:val="70"/>
        </w:trPr>
        <w:tc>
          <w:tcPr>
            <w:tcW w:w="851" w:type="dxa"/>
            <w:gridSpan w:val="2"/>
            <w:noWrap/>
            <w:vAlign w:val="center"/>
          </w:tcPr>
          <w:p w14:paraId="324EC52E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2EF3ED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7F4AA2BB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6D51DDF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5E7D4491" w14:textId="77777777" w:rsidTr="00BF60C5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08C02058" w14:textId="77777777" w:rsidR="00F379A3" w:rsidRPr="00E51A08" w:rsidRDefault="00F379A3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4DA59221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BF60C5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BF60C5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</w:p>
        </w:tc>
        <w:tc>
          <w:tcPr>
            <w:tcW w:w="2551" w:type="dxa"/>
            <w:noWrap/>
            <w:vAlign w:val="center"/>
          </w:tcPr>
          <w:p w14:paraId="63E3E4BC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8CAFDF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F60C5" w:rsidRPr="00BF60C5" w14:paraId="11CC8F7F" w14:textId="77777777" w:rsidTr="00E51A08">
        <w:trPr>
          <w:trHeight w:val="1200"/>
        </w:trPr>
        <w:tc>
          <w:tcPr>
            <w:tcW w:w="851" w:type="dxa"/>
            <w:gridSpan w:val="2"/>
            <w:noWrap/>
            <w:vAlign w:val="center"/>
          </w:tcPr>
          <w:p w14:paraId="06BC611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3E5973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Pompa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strzykawkowa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sterowana elektronicznie przeznaczona do stosowania u dorosłych, dzieci oraz noworodków w celu okresowego lub ciągłego podawania pozajelitowych i dojelitowych płynów klinicznie akceptowanymi drogami podania. Należą do nich droga dożylna,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dotętnicowa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podskórna, zewnątrzoponowa i dojelitowa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-</w:t>
            </w:r>
            <w:r w:rsidRPr="00E51A08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17</w:t>
            </w:r>
            <w:r w:rsidRPr="00BF60C5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AE6735" w:rsidRPr="00BF60C5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szt.</w:t>
            </w:r>
          </w:p>
        </w:tc>
        <w:tc>
          <w:tcPr>
            <w:tcW w:w="2551" w:type="dxa"/>
            <w:noWrap/>
            <w:vAlign w:val="center"/>
            <w:hideMark/>
          </w:tcPr>
          <w:p w14:paraId="19E69CA8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F1488B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7AC82F5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FA9C085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E4B8FC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Napięcie 11-16 V DC, możliwość zasilania przy użyciu zasilacza zewnętrznego </w:t>
            </w:r>
            <w:r w:rsidR="004503E9"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(17</w:t>
            </w:r>
            <w:r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AE6735"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szt.</w:t>
            </w:r>
            <w:r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w dostawie</w:t>
            </w:r>
            <w:r w:rsidR="004503E9"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  <w:r w:rsidRPr="002A3B79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lub  stacji dokującej typ Space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13D86B1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0910CF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D31206C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028AF46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3D8C1B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2551" w:type="dxa"/>
            <w:noWrap/>
            <w:vAlign w:val="center"/>
            <w:hideMark/>
          </w:tcPr>
          <w:p w14:paraId="1D8D10B5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7C6B59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F5BCEDA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0B59C6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23E456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Strzykawka mocowana od przodu  </w:t>
            </w:r>
          </w:p>
        </w:tc>
        <w:tc>
          <w:tcPr>
            <w:tcW w:w="2551" w:type="dxa"/>
            <w:noWrap/>
            <w:vAlign w:val="center"/>
            <w:hideMark/>
          </w:tcPr>
          <w:p w14:paraId="09FA6C4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7186EB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42C2E9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01B446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11C20F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Automatyczny napęd strzykawki</w:t>
            </w:r>
          </w:p>
        </w:tc>
        <w:tc>
          <w:tcPr>
            <w:tcW w:w="2551" w:type="dxa"/>
            <w:noWrap/>
            <w:vAlign w:val="center"/>
            <w:hideMark/>
          </w:tcPr>
          <w:p w14:paraId="0F2AC0F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6396D8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3FFBFDE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04EAA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DAB6D5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Zabezpieczenie przed swobodnym przepływem, niezależnie od położenia głowicy napędowej</w:t>
            </w:r>
          </w:p>
        </w:tc>
        <w:tc>
          <w:tcPr>
            <w:tcW w:w="2551" w:type="dxa"/>
            <w:noWrap/>
            <w:vAlign w:val="center"/>
            <w:hideMark/>
          </w:tcPr>
          <w:p w14:paraId="548ED74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6E4D659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B3E3F90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5706F9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57568F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Pompa skalibrowana do pracy ze strzykawkami o objętości 2/3, 5, 10, 20 i 50/60 ml różnych typów oraz różnych producentów  </w:t>
            </w:r>
          </w:p>
        </w:tc>
        <w:tc>
          <w:tcPr>
            <w:tcW w:w="2551" w:type="dxa"/>
            <w:noWrap/>
            <w:vAlign w:val="center"/>
            <w:hideMark/>
          </w:tcPr>
          <w:p w14:paraId="1449A52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518A9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BDAE117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E192B1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696D889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pompy max.1,5 kg</w:t>
            </w:r>
          </w:p>
        </w:tc>
        <w:tc>
          <w:tcPr>
            <w:tcW w:w="2551" w:type="dxa"/>
            <w:noWrap/>
            <w:vAlign w:val="center"/>
            <w:hideMark/>
          </w:tcPr>
          <w:p w14:paraId="43FDEF0A" w14:textId="77777777" w:rsidR="00BF60C5" w:rsidRPr="00BF60C5" w:rsidRDefault="0096548F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</w:t>
            </w:r>
            <w:r w:rsidR="00BF60C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7FC8225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&lt; 1,5 kg = 5 pkt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= 1,5 kg = 0 pkt</w:t>
            </w:r>
          </w:p>
        </w:tc>
      </w:tr>
      <w:tr w:rsidR="00BF60C5" w:rsidRPr="00BF60C5" w14:paraId="700E3294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6F9F5B6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E54367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Wymiary max. 250 x 70 x 160 mm (szer. x wys. x gł.)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Pompa </w:t>
            </w:r>
            <w:r w:rsidR="00AE673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zajmująca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przestrzeń nie większą niż 3 000 cm3</w:t>
            </w:r>
          </w:p>
        </w:tc>
        <w:tc>
          <w:tcPr>
            <w:tcW w:w="2551" w:type="dxa"/>
            <w:noWrap/>
            <w:vAlign w:val="center"/>
            <w:hideMark/>
          </w:tcPr>
          <w:p w14:paraId="0FBA239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F304D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54B47E5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BB73CB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FA045E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Klawiatura nawigacyjna do wprowadzania parametrów i obsługi pompy</w:t>
            </w:r>
          </w:p>
        </w:tc>
        <w:tc>
          <w:tcPr>
            <w:tcW w:w="2551" w:type="dxa"/>
            <w:noWrap/>
            <w:vAlign w:val="center"/>
            <w:hideMark/>
          </w:tcPr>
          <w:p w14:paraId="72A7065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CAAF37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6E86180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11D4FE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B24BB9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Odłączalny uchwyt do przenoszenia zestaw</w:t>
            </w:r>
            <w:r w:rsidR="004503E9"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u</w:t>
            </w:r>
            <w:r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2 i 3 pomp zasilanych jednym przewodem </w:t>
            </w:r>
            <w:r w:rsidR="00AE673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- </w:t>
            </w:r>
            <w:r w:rsidRPr="009044FF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 w:rsidR="00E51A08" w:rsidRPr="009044FF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9044FF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 xml:space="preserve"> szt</w:t>
            </w:r>
            <w:r w:rsidR="00E51A08" w:rsidRPr="009044F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551" w:type="dxa"/>
            <w:noWrap/>
            <w:vAlign w:val="center"/>
            <w:hideMark/>
          </w:tcPr>
          <w:p w14:paraId="0B3E3760" w14:textId="77777777" w:rsidR="00BF60C5" w:rsidRPr="00BF60C5" w:rsidRDefault="009D7E2D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BF60C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2126" w:type="dxa"/>
            <w:noWrap/>
            <w:vAlign w:val="center"/>
            <w:hideMark/>
          </w:tcPr>
          <w:p w14:paraId="6CDF205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CEEA7A9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BF158D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4E94AA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podłączenia odłączalnego uchwytu do przenoszenia i mocowania pompy do rur i szyn medycznych pionowych i poziomych </w:t>
            </w:r>
          </w:p>
        </w:tc>
        <w:tc>
          <w:tcPr>
            <w:tcW w:w="2551" w:type="dxa"/>
            <w:noWrap/>
            <w:vAlign w:val="center"/>
            <w:hideMark/>
          </w:tcPr>
          <w:p w14:paraId="14E1C4C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446030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0EA242C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A2FE3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9FFA60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vAlign w:val="center"/>
            <w:hideMark/>
          </w:tcPr>
          <w:p w14:paraId="2F92164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26DFF5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8A14A9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17A64DB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F7BFA3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Podświetlany ekran i przyciski z </w:t>
            </w:r>
            <w:r w:rsidR="00E51A08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możliwością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regulacji na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min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323B66A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2BDDD78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48923EE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EB7CE8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C7A460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głośności w zakresie od 59dBA do 74dBA na 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09DDCE4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1D3FD2D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5C25955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C342B6B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872661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jasności i kontrastu ekranu na 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="00E51A0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67C2448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2A3B79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/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22CB211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E251661" w14:textId="77777777" w:rsidTr="009044FF">
        <w:trPr>
          <w:trHeight w:val="648"/>
        </w:trPr>
        <w:tc>
          <w:tcPr>
            <w:tcW w:w="851" w:type="dxa"/>
            <w:gridSpan w:val="2"/>
            <w:noWrap/>
            <w:vAlign w:val="center"/>
          </w:tcPr>
          <w:p w14:paraId="6BE9FF1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AED420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Zasilanie z akumulatora wewnętrznego min 16 h. przy przepływie 5 ml/h.</w:t>
            </w:r>
          </w:p>
        </w:tc>
        <w:tc>
          <w:tcPr>
            <w:tcW w:w="2551" w:type="dxa"/>
            <w:noWrap/>
            <w:vAlign w:val="center"/>
            <w:hideMark/>
          </w:tcPr>
          <w:p w14:paraId="4B0A9A19" w14:textId="77777777" w:rsidR="00BF60C5" w:rsidRPr="00BF60C5" w:rsidRDefault="002A3B79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</w:t>
            </w:r>
            <w:r w:rsidR="00BF60C5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70C69A9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Czas pracy   &gt;16h = 5 pkt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Czas pracy ≤ 16h - 0 pkt</w:t>
            </w:r>
          </w:p>
        </w:tc>
      </w:tr>
      <w:tr w:rsidR="00BF60C5" w:rsidRPr="00BF60C5" w14:paraId="3F4410F1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FD84F65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86AAC7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vAlign w:val="center"/>
            <w:hideMark/>
          </w:tcPr>
          <w:p w14:paraId="5F66EB61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A60D12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4A51B3F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14AD69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F179EC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programowania parametrów infuzji w mg,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mcg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U lub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mmol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  z uwzględnieniem lub nie masy ciała w odniesieniu do czasu ( np. mg/kg/min; mg/kg/h; mg/kg/24h) </w:t>
            </w:r>
          </w:p>
        </w:tc>
        <w:tc>
          <w:tcPr>
            <w:tcW w:w="2551" w:type="dxa"/>
            <w:noWrap/>
            <w:vAlign w:val="center"/>
            <w:hideMark/>
          </w:tcPr>
          <w:p w14:paraId="6831E631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D58D9B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59C3502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D130A9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E8A205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prędkości infuzji podstawowej min. 0,1 do 999,9 ml/h  Prędkość infuzji w zakresie od 0,1 - 99,99ml/h programowana co 0,01ml/godz. </w:t>
            </w:r>
          </w:p>
        </w:tc>
        <w:tc>
          <w:tcPr>
            <w:tcW w:w="2551" w:type="dxa"/>
            <w:noWrap/>
            <w:vAlign w:val="center"/>
            <w:hideMark/>
          </w:tcPr>
          <w:p w14:paraId="3408840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5BCC34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CC6FC7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AA931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1EDA0C36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Prędkości  bolusa min:</w:t>
            </w:r>
          </w:p>
        </w:tc>
        <w:tc>
          <w:tcPr>
            <w:tcW w:w="2551" w:type="dxa"/>
            <w:noWrap/>
            <w:vAlign w:val="center"/>
            <w:hideMark/>
          </w:tcPr>
          <w:p w14:paraId="2E133D33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31F8F3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DA30EB0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8D02AE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50A0F25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poj.3ml =1-150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2DF3DFA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FD6C72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09C7D5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37768F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37022B96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poj.5ml =1-300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694EF64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549F08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1679641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E819C2C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D50F97B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poj.10ml =1-500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567FD80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19021A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0C7D482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DFBF0E3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5551F6D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poj.20ml =1-800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3DA36A6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136723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11EB9C5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D30721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695C7A6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poj.30ml =1-1200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6B192FB3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047E4B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956B3E7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2C97A4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663F89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poj.50/60ml =1-1800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74447EB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2BD0AD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B663AB1" w14:textId="77777777" w:rsidTr="00E51A08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7E4062C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71B916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utworzenia Bazy Leków używanych w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infuzjoterapii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vAlign w:val="center"/>
            <w:hideMark/>
          </w:tcPr>
          <w:p w14:paraId="47A57C4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29D663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B2279E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BE690C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74D4BD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skonfigurowania do min. 50 oddziałów w jednej pompie.</w:t>
            </w:r>
          </w:p>
        </w:tc>
        <w:tc>
          <w:tcPr>
            <w:tcW w:w="2551" w:type="dxa"/>
            <w:noWrap/>
            <w:vAlign w:val="center"/>
            <w:hideMark/>
          </w:tcPr>
          <w:p w14:paraId="4B63EC7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374991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D2ECB9F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4AB4545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98D444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Biblioteka Leków zawierająca min.1 000  leków z możliwością podzielenia na min. 30 grup.  </w:t>
            </w:r>
          </w:p>
        </w:tc>
        <w:tc>
          <w:tcPr>
            <w:tcW w:w="2551" w:type="dxa"/>
            <w:noWrap/>
            <w:vAlign w:val="center"/>
            <w:hideMark/>
          </w:tcPr>
          <w:p w14:paraId="2B822ED1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4AD08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CC1B0D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74660E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200B5C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vAlign w:val="center"/>
            <w:hideMark/>
          </w:tcPr>
          <w:p w14:paraId="004AFCD9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7D2CAF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2CBB88E" w14:textId="77777777" w:rsidTr="00E51A08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3DAAE08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F75925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Leki zawarte w Bibliotece Leków powiązane z parametrami infuzji (limity względne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min-max;limity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bezwzględne min-max, parametry standardowe), możliwość wyświetlania naprzemiennego nazwy leku i/lub wybranych parametrów infuzji. </w:t>
            </w:r>
          </w:p>
        </w:tc>
        <w:tc>
          <w:tcPr>
            <w:tcW w:w="2551" w:type="dxa"/>
            <w:noWrap/>
            <w:vAlign w:val="center"/>
            <w:hideMark/>
          </w:tcPr>
          <w:p w14:paraId="3C7CA70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5211FC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00D0049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C73F51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78DE3C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vAlign w:val="center"/>
            <w:hideMark/>
          </w:tcPr>
          <w:p w14:paraId="3967DEC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0DB16F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D804311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DD0C25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CBC6AE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prowadzenie infuzji w trybie okresowym, </w:t>
            </w:r>
            <w:r w:rsidR="004F0818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składającym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vAlign w:val="center"/>
            <w:hideMark/>
          </w:tcPr>
          <w:p w14:paraId="135F18C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24789D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176CD0A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C99B8F8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59DB1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vAlign w:val="center"/>
            <w:hideMark/>
          </w:tcPr>
          <w:p w14:paraId="523792E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0C21B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33E9DB4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5A4C4C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D1D354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przejmowanie infuzji przez kolejną pompę natychmiast po zakończeniu infuzji w poprzedniej  dla pomp pracujących w stacji dokującej</w:t>
            </w:r>
          </w:p>
        </w:tc>
        <w:tc>
          <w:tcPr>
            <w:tcW w:w="2551" w:type="dxa"/>
            <w:noWrap/>
            <w:vAlign w:val="center"/>
            <w:hideMark/>
          </w:tcPr>
          <w:p w14:paraId="649270E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1018B0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78E4711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434AAED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38E2A3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Podjęcie infuzji przez  pompę przejmującą bez konieczności naciskania przycisku START ani jakiegokolwiek innego. </w:t>
            </w:r>
          </w:p>
        </w:tc>
        <w:tc>
          <w:tcPr>
            <w:tcW w:w="2551" w:type="dxa"/>
            <w:noWrap/>
            <w:vAlign w:val="center"/>
            <w:hideMark/>
          </w:tcPr>
          <w:p w14:paraId="0FF5DA25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5BE7B5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98C146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849333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B3D945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Przekazywanie parametrów infuzji pomiędzy pompami następuje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0471FBD9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3D766B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77314DB9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DF7ADC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1D2768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Pompy podczas pracy w trybie przejęcia są czytelnie opisane symbolami jednoznacznie wskazującymi która pompa prowadzi infuzję a która oczekuje na podjęcie pracy</w:t>
            </w:r>
          </w:p>
        </w:tc>
        <w:tc>
          <w:tcPr>
            <w:tcW w:w="2551" w:type="dxa"/>
            <w:noWrap/>
            <w:vAlign w:val="center"/>
            <w:hideMark/>
          </w:tcPr>
          <w:p w14:paraId="5219B43E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F2485E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1BD9E40D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97FA08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03D36B9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Programowanie pracy w trybie przejęcie odbywa się z pozycji klawiatury pompy, wykluczając ryzyko pomyłki zaprogramowania niewłaściwej pompy.</w:t>
            </w:r>
          </w:p>
        </w:tc>
        <w:tc>
          <w:tcPr>
            <w:tcW w:w="2551" w:type="dxa"/>
            <w:noWrap/>
            <w:vAlign w:val="center"/>
            <w:hideMark/>
          </w:tcPr>
          <w:p w14:paraId="77694A72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D59DF5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205A79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10E793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34D69E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rozszerzenia  oprogramowania o tryb  TCI  (ang. Target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Controlled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Infusion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) </w:t>
            </w:r>
          </w:p>
        </w:tc>
        <w:tc>
          <w:tcPr>
            <w:tcW w:w="2551" w:type="dxa"/>
            <w:noWrap/>
            <w:vAlign w:val="center"/>
            <w:hideMark/>
          </w:tcPr>
          <w:p w14:paraId="7BE3C55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C1663F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90CFFAC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DFC0462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840EEF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Propofolu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różnych </w:t>
            </w:r>
            <w:r w:rsidR="004F0818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producentów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stężeniu 0,5%, 1% i 2%. </w:t>
            </w:r>
          </w:p>
        </w:tc>
        <w:tc>
          <w:tcPr>
            <w:tcW w:w="2551" w:type="dxa"/>
            <w:noWrap/>
            <w:vAlign w:val="center"/>
            <w:hideMark/>
          </w:tcPr>
          <w:p w14:paraId="1E1CE2A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53122B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2014183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2B950BC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A5B21A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Protokół podawania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Propofolu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model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Marsch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oraz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Schnider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(do wyboru)</w:t>
            </w:r>
          </w:p>
        </w:tc>
        <w:tc>
          <w:tcPr>
            <w:tcW w:w="2551" w:type="dxa"/>
            <w:noWrap/>
            <w:vAlign w:val="center"/>
            <w:hideMark/>
          </w:tcPr>
          <w:p w14:paraId="1527BA79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029788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30E754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53B051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3F6701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Remifentanylu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różnych producentów w stężeniu 2% i 5%.</w:t>
            </w:r>
          </w:p>
        </w:tc>
        <w:tc>
          <w:tcPr>
            <w:tcW w:w="2551" w:type="dxa"/>
            <w:noWrap/>
            <w:vAlign w:val="center"/>
            <w:hideMark/>
          </w:tcPr>
          <w:p w14:paraId="0F5F397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32BD16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A76E9C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CB6ECF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AE232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</w:t>
            </w:r>
            <w:proofErr w:type="spellStart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Sufentanylu</w:t>
            </w:r>
            <w:proofErr w:type="spellEnd"/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różnych producentów w stężeniu 0,5% i 5%</w:t>
            </w:r>
          </w:p>
        </w:tc>
        <w:tc>
          <w:tcPr>
            <w:tcW w:w="2551" w:type="dxa"/>
            <w:noWrap/>
            <w:vAlign w:val="center"/>
            <w:hideMark/>
          </w:tcPr>
          <w:p w14:paraId="7386DA57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77339A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AF03AB0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F3164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EABDC8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podania dodatkowego bolusa w trakcie trwania terapii TCI . </w:t>
            </w:r>
          </w:p>
        </w:tc>
        <w:tc>
          <w:tcPr>
            <w:tcW w:w="2551" w:type="dxa"/>
            <w:noWrap/>
            <w:vAlign w:val="center"/>
            <w:hideMark/>
          </w:tcPr>
          <w:p w14:paraId="3238A67A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25751F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120CE14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D083020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E2B32B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prowadzenia znieczulenia zewnątrzoponowego </w:t>
            </w:r>
          </w:p>
        </w:tc>
        <w:tc>
          <w:tcPr>
            <w:tcW w:w="2551" w:type="dxa"/>
            <w:noWrap/>
            <w:vAlign w:val="center"/>
            <w:hideMark/>
          </w:tcPr>
          <w:p w14:paraId="7A44557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A8F93A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68B0454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28EAFA1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6F48F92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trybu PCA lub zastosowania przycisku pacjenta będącego na wyposażeniu</w:t>
            </w:r>
          </w:p>
        </w:tc>
        <w:tc>
          <w:tcPr>
            <w:tcW w:w="2551" w:type="dxa"/>
            <w:noWrap/>
            <w:vAlign w:val="center"/>
            <w:hideMark/>
          </w:tcPr>
          <w:p w14:paraId="1F34DD4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A1AF08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E30540F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E31B95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4A052F6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ciśnienia okluzji od 75 mmHg do 900mmHg, z wyborem na 9 poziomach.</w:t>
            </w:r>
          </w:p>
        </w:tc>
        <w:tc>
          <w:tcPr>
            <w:tcW w:w="2551" w:type="dxa"/>
            <w:noWrap/>
            <w:vAlign w:val="center"/>
            <w:hideMark/>
          </w:tcPr>
          <w:p w14:paraId="459B9A15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D72F51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4BBD31F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F1596FE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A4E7C6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rozszerzenia zakresu ciśnienia okluzji o trzy dodatkowe poziomy 10 mmHg, 30 mmHg, 50 mmHg</w:t>
            </w:r>
          </w:p>
        </w:tc>
        <w:tc>
          <w:tcPr>
            <w:tcW w:w="2551" w:type="dxa"/>
            <w:noWrap/>
            <w:vAlign w:val="center"/>
            <w:hideMark/>
          </w:tcPr>
          <w:p w14:paraId="1007EF2A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B6ECD0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09EF9DF" w14:textId="77777777" w:rsidTr="00E51A08">
        <w:trPr>
          <w:trHeight w:val="1200"/>
        </w:trPr>
        <w:tc>
          <w:tcPr>
            <w:tcW w:w="851" w:type="dxa"/>
            <w:gridSpan w:val="2"/>
            <w:noWrap/>
            <w:vAlign w:val="center"/>
          </w:tcPr>
          <w:p w14:paraId="349EF65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15E777F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o czujnik skoku/spadku ciśnienia w linii - (okluzji i  rozłączenia linii) bez konieczności stosowania specjalnych drenów. Dokładność czujnika skoku/spadku ciśnienia w linii możliwa do ustawienia na trzech poziomach 2mmHg, 8mmHg, 20mmHg</w:t>
            </w:r>
          </w:p>
        </w:tc>
        <w:tc>
          <w:tcPr>
            <w:tcW w:w="2551" w:type="dxa"/>
            <w:noWrap/>
            <w:vAlign w:val="center"/>
            <w:hideMark/>
          </w:tcPr>
          <w:p w14:paraId="301B2CF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D97B8F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5259489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DE4D7AC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F32BE6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ciągłego pomiaru ciśnienia w linii w formie graficznej.  </w:t>
            </w:r>
          </w:p>
        </w:tc>
        <w:tc>
          <w:tcPr>
            <w:tcW w:w="2551" w:type="dxa"/>
            <w:noWrap/>
            <w:vAlign w:val="center"/>
            <w:hideMark/>
          </w:tcPr>
          <w:p w14:paraId="38BF0B8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429DD9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EBC6956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DC0209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EAF0C02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objętości do podania (VTBD) 0,1- 9999 ml</w:t>
            </w:r>
          </w:p>
        </w:tc>
        <w:tc>
          <w:tcPr>
            <w:tcW w:w="2551" w:type="dxa"/>
            <w:noWrap/>
            <w:vAlign w:val="center"/>
            <w:hideMark/>
          </w:tcPr>
          <w:p w14:paraId="5C6C89AF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AEADA1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772CDFF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D21D3B3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5C32A21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vAlign w:val="center"/>
            <w:hideMark/>
          </w:tcPr>
          <w:p w14:paraId="0B34255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A89E71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4B3D5BA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A558069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D2C0EA4" w14:textId="77777777" w:rsidR="00BF60C5" w:rsidRPr="00BF60C5" w:rsidRDefault="00BF60C5" w:rsidP="00BF60C5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stand-by programowana w zakresie 1 min - 23:59 godz.</w:t>
            </w:r>
          </w:p>
        </w:tc>
        <w:tc>
          <w:tcPr>
            <w:tcW w:w="2551" w:type="dxa"/>
            <w:noWrap/>
            <w:vAlign w:val="center"/>
            <w:hideMark/>
          </w:tcPr>
          <w:p w14:paraId="7E3A82E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5BC527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56C382A0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21B1324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3BA2C5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vAlign w:val="center"/>
            <w:hideMark/>
          </w:tcPr>
          <w:p w14:paraId="3844AEE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DF763FC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90317D5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5772A4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79E1D84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 przypadku niewłaściwej dawki 0.1 ml spowodowanej niepoprawnym działaniem urządzenia, pompa wyłączy się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37DF397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ACE61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2DF3B9FD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6B6114F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1C2CFC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2551" w:type="dxa"/>
            <w:noWrap/>
            <w:vAlign w:val="center"/>
            <w:hideMark/>
          </w:tcPr>
          <w:p w14:paraId="09A8E09B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EBD445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9463131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A32E677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0DC04EFB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Menu w języku polskim</w:t>
            </w:r>
          </w:p>
        </w:tc>
        <w:tc>
          <w:tcPr>
            <w:tcW w:w="2551" w:type="dxa"/>
            <w:noWrap/>
            <w:vAlign w:val="center"/>
            <w:hideMark/>
          </w:tcPr>
          <w:p w14:paraId="25A2AE7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D0B659D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0C37F784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4DA1A10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E26BBE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2551" w:type="dxa"/>
            <w:noWrap/>
            <w:vAlign w:val="center"/>
            <w:hideMark/>
          </w:tcPr>
          <w:p w14:paraId="2F03F3A0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5A5FF17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6B2300C7" w14:textId="77777777" w:rsidTr="00E51A08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A1F347B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A2D2EF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czytnikiem kodów kreskowych</w:t>
            </w:r>
          </w:p>
        </w:tc>
        <w:tc>
          <w:tcPr>
            <w:tcW w:w="2551" w:type="dxa"/>
            <w:noWrap/>
            <w:vAlign w:val="center"/>
            <w:hideMark/>
          </w:tcPr>
          <w:p w14:paraId="3270BE16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A39168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8F58462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8E1BF2A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76F8540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współpracy z systemem do kontrolowanej insulinoterapii będącym na wyposażeniu </w:t>
            </w:r>
            <w:r w:rsidR="002A3B79"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1C57BDAC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D1425A8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3D2D1DA5" w14:textId="77777777" w:rsidTr="00E51A08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DE4823D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2652173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7CC0F098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0DB03CA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F60C5" w:rsidRPr="00BF60C5" w14:paraId="44C14A89" w14:textId="77777777" w:rsidTr="00E51A08">
        <w:trPr>
          <w:trHeight w:val="870"/>
        </w:trPr>
        <w:tc>
          <w:tcPr>
            <w:tcW w:w="851" w:type="dxa"/>
            <w:gridSpan w:val="2"/>
            <w:noWrap/>
            <w:vAlign w:val="center"/>
          </w:tcPr>
          <w:p w14:paraId="06D724CD" w14:textId="77777777" w:rsidR="00BF60C5" w:rsidRPr="00E51A08" w:rsidRDefault="00BF60C5" w:rsidP="00E51A08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6AB887E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vAlign w:val="center"/>
            <w:hideMark/>
          </w:tcPr>
          <w:p w14:paraId="7DA01034" w14:textId="77777777" w:rsidR="00BF60C5" w:rsidRPr="00BF60C5" w:rsidRDefault="00BF60C5" w:rsidP="00BF60C5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2126" w:type="dxa"/>
            <w:vAlign w:val="center"/>
            <w:hideMark/>
          </w:tcPr>
          <w:p w14:paraId="009A9135" w14:textId="77777777" w:rsidR="00BF60C5" w:rsidRPr="00BF60C5" w:rsidRDefault="00BF60C5" w:rsidP="00BF60C5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Najniższy pobór mocy = 10 pkt. </w:t>
            </w:r>
            <w:r w:rsidRPr="00BF60C5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Pozostałe = 0 pkt.</w:t>
            </w:r>
          </w:p>
        </w:tc>
      </w:tr>
    </w:tbl>
    <w:p w14:paraId="46555106" w14:textId="77777777" w:rsidR="00EE0AAF" w:rsidRPr="00BF60C5" w:rsidRDefault="00EE0AAF" w:rsidP="00BF60C5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BF60C5" w14:paraId="1C08A501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121DA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BF60C5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BF60C5" w14:paraId="6544F094" w14:textId="77777777" w:rsidTr="00730E5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CB37" w14:textId="77777777" w:rsidR="00F379A3" w:rsidRPr="00BF60C5" w:rsidRDefault="00F379A3" w:rsidP="00BF60C5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CB21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9C23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1BAD1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44289E12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BF60C5" w14:paraId="55874F0D" w14:textId="77777777" w:rsidTr="00730E59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4804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D8AA9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3AA1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060A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64605E7F" w14:textId="77777777" w:rsidTr="00730E5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8003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D3AD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4C7F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763E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7263FE9" w14:textId="77777777" w:rsidTr="00730E59">
        <w:trPr>
          <w:trHeight w:val="24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1636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EFAEC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42 miesięcy – 7 pkt</w:t>
            </w: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F964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3A03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7FC6C13" w14:textId="77777777" w:rsidTr="00730E5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97AD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8D02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524E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463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11C233EA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ED8B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C2C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A7C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521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B86A715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5479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B9632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E001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72D6D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F60C5" w14:paraId="6C9B696D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AD78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F8A1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F60C5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188B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6D80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F60C5" w14:paraId="447564B1" w14:textId="77777777" w:rsidTr="00730E59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5A5C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344B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5F5EA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F597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774FF483" w14:textId="77777777" w:rsidTr="00730E59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B509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1932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D87D4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A2BC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28F1E071" w14:textId="77777777" w:rsidTr="00730E59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4D36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2E1C5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BEB2D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A086B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F60C5" w14:paraId="5E3EE9BB" w14:textId="77777777" w:rsidTr="00730E5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145C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E7F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A5D9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507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2D50D1BE" w14:textId="77777777" w:rsidTr="00730E59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A3B8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A9C3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CF2E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E736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4E8499B3" w14:textId="77777777" w:rsidTr="00730E59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38AC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DF5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24E4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0F7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F60C5" w14:paraId="56DA0DF2" w14:textId="77777777" w:rsidTr="00730E59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4995" w14:textId="77777777" w:rsidR="00F379A3" w:rsidRPr="00BF60C5" w:rsidRDefault="00F379A3" w:rsidP="00730E59">
            <w:pPr>
              <w:pStyle w:val="Akapitzlist"/>
              <w:numPr>
                <w:ilvl w:val="0"/>
                <w:numId w:val="4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C601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C4EA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F60C5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39D3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0655E2E5" w14:textId="77777777" w:rsidR="00F379A3" w:rsidRPr="00BF60C5" w:rsidRDefault="00F379A3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5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537"/>
        <w:gridCol w:w="2551"/>
        <w:gridCol w:w="2126"/>
      </w:tblGrid>
      <w:tr w:rsidR="00F379A3" w:rsidRPr="00BF60C5" w14:paraId="28FEF638" w14:textId="77777777" w:rsidTr="00730E5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EE26D6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654A9B2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F60C5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BF60C5" w14:paraId="575DC5CA" w14:textId="77777777" w:rsidTr="00730E59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389331" w14:textId="77777777" w:rsidR="00F379A3" w:rsidRPr="00BF60C5" w:rsidRDefault="00F379A3" w:rsidP="006D0A78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single" w:sz="4" w:space="0" w:color="auto"/>
            </w:tcBorders>
            <w:vAlign w:val="center"/>
          </w:tcPr>
          <w:p w14:paraId="0D739845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26A53DE6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446830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5FBBA6A6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379B3BE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EF1664D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7DEE6F7C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F37EE3E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2D1F05D6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CF51E40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2963EF7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78FA48AB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4C2B824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3B9F29F8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A2FA488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30C7BB51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7969D7F5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C8EC16B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5EF89719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419F1EC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77107CCC" w14:textId="77777777" w:rsidR="00F379A3" w:rsidRDefault="004F0818" w:rsidP="00BF60C5">
            <w:pPr>
              <w:spacing w:line="360" w:lineRule="auto"/>
              <w:rPr>
                <w:rFonts w:ascii="Century Gothic" w:hAnsi="Century Gothic"/>
                <w:color w:val="EE0000"/>
                <w:sz w:val="16"/>
                <w:szCs w:val="16"/>
              </w:rPr>
            </w:pPr>
            <w:r w:rsidRPr="00102403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Deklaracja</w:t>
            </w:r>
            <w:r w:rsidR="00F379A3" w:rsidRPr="00102403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  <w:p w14:paraId="5262DAFA" w14:textId="1E97062D" w:rsidR="00102403" w:rsidRPr="00102403" w:rsidRDefault="0010240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02403">
              <w:rPr>
                <w:rFonts w:ascii="Century Gothic" w:hAnsi="Century Gothic"/>
                <w:color w:val="EE0000"/>
                <w:sz w:val="16"/>
                <w:szCs w:val="16"/>
              </w:rPr>
              <w:t>O</w:t>
            </w:r>
            <w:r w:rsidRPr="00102403">
              <w:rPr>
                <w:rFonts w:ascii="Century Gothic" w:hAnsi="Century Gothic"/>
                <w:color w:val="EE0000"/>
                <w:sz w:val="16"/>
                <w:szCs w:val="16"/>
              </w:rPr>
              <w:t>świadczeni</w:t>
            </w:r>
            <w:r w:rsidRPr="00102403">
              <w:rPr>
                <w:rFonts w:ascii="Century Gothic" w:hAnsi="Century Gothic"/>
                <w:color w:val="EE0000"/>
                <w:sz w:val="16"/>
                <w:szCs w:val="16"/>
              </w:rPr>
              <w:t>e</w:t>
            </w:r>
            <w:r w:rsidRPr="00102403">
              <w:rPr>
                <w:rFonts w:ascii="Century Gothic" w:hAnsi="Century Gothic"/>
                <w:color w:val="EE0000"/>
                <w:sz w:val="16"/>
                <w:szCs w:val="16"/>
              </w:rPr>
              <w:t xml:space="preserve"> producenta o zgodności oferowanego sprzętu z zasadą DNSH</w:t>
            </w:r>
          </w:p>
        </w:tc>
        <w:tc>
          <w:tcPr>
            <w:tcW w:w="2551" w:type="dxa"/>
            <w:vAlign w:val="center"/>
          </w:tcPr>
          <w:p w14:paraId="3577866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56C189A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30124ADF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1C97B0B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29820A1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BF60C5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BF60C5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7CCB18C8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682B97A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F60C5" w14:paraId="1BB3E54F" w14:textId="77777777" w:rsidTr="00730E59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8CF26C7" w14:textId="77777777" w:rsidR="00F379A3" w:rsidRPr="00BF60C5" w:rsidRDefault="00F379A3" w:rsidP="00BF60C5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7" w:type="dxa"/>
            <w:vAlign w:val="center"/>
          </w:tcPr>
          <w:p w14:paraId="4E0F6AFF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F60C5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40889626" w14:textId="77777777" w:rsidR="00F379A3" w:rsidRPr="00BF60C5" w:rsidRDefault="00F379A3" w:rsidP="00BF60C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F60C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2F4FDA8" w14:textId="77777777" w:rsidR="00F379A3" w:rsidRPr="00BF60C5" w:rsidRDefault="00F379A3" w:rsidP="00BF60C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F70C1EB" w14:textId="77777777" w:rsidR="00F379A3" w:rsidRPr="00BF60C5" w:rsidRDefault="00F379A3" w:rsidP="00BF60C5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03CC3362" w14:textId="77777777" w:rsidR="00F379A3" w:rsidRPr="00BF60C5" w:rsidRDefault="00F379A3" w:rsidP="00BF60C5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BF60C5">
        <w:rPr>
          <w:rFonts w:ascii="Century Gothic" w:hAnsi="Century Gothic"/>
          <w:b/>
          <w:sz w:val="16"/>
          <w:szCs w:val="16"/>
        </w:rPr>
        <w:t xml:space="preserve">SUMA punktów </w:t>
      </w:r>
      <w:r w:rsidR="00BF60C5" w:rsidRPr="00BF60C5">
        <w:rPr>
          <w:rFonts w:ascii="Century Gothic" w:hAnsi="Century Gothic"/>
          <w:b/>
          <w:sz w:val="16"/>
          <w:szCs w:val="16"/>
        </w:rPr>
        <w:t>2</w:t>
      </w:r>
      <w:r w:rsidRPr="00BF60C5">
        <w:rPr>
          <w:rFonts w:ascii="Century Gothic" w:hAnsi="Century Gothic"/>
          <w:b/>
          <w:sz w:val="16"/>
          <w:szCs w:val="16"/>
        </w:rPr>
        <w:t>0.</w:t>
      </w:r>
    </w:p>
    <w:p w14:paraId="4BDBF65D" w14:textId="77777777" w:rsidR="00F379A3" w:rsidRPr="00BF60C5" w:rsidRDefault="00F379A3" w:rsidP="00BF60C5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77429B" w:rsidRPr="008C39DC" w14:paraId="30F7A726" w14:textId="77777777" w:rsidTr="002667D3">
        <w:trPr>
          <w:gridAfter w:val="1"/>
          <w:wAfter w:w="11" w:type="dxa"/>
        </w:trPr>
        <w:tc>
          <w:tcPr>
            <w:tcW w:w="2694" w:type="dxa"/>
            <w:gridSpan w:val="2"/>
          </w:tcPr>
          <w:p w14:paraId="20AC51EA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851" w:type="dxa"/>
          </w:tcPr>
          <w:p w14:paraId="0DCF4C9C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64BAC4E7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6C20AFA7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3CFF7C6D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305524A9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4D6C30AD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4A94290D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77429B" w:rsidRPr="008C39DC" w14:paraId="24657B0C" w14:textId="77777777" w:rsidTr="002667D3">
        <w:tc>
          <w:tcPr>
            <w:tcW w:w="568" w:type="dxa"/>
          </w:tcPr>
          <w:p w14:paraId="27D424F6" w14:textId="77777777" w:rsidR="0077429B" w:rsidRPr="008C39DC" w:rsidRDefault="0077429B" w:rsidP="002667D3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109AC823" w14:textId="70890BEB" w:rsidR="0077429B" w:rsidRPr="008C39DC" w:rsidRDefault="0077429B" w:rsidP="002667D3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77429B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 xml:space="preserve">Pompy infuzyjne </w:t>
            </w:r>
            <w:proofErr w:type="spellStart"/>
            <w:r w:rsidRPr="0077429B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jednostrzykawkowe</w:t>
            </w:r>
            <w:proofErr w:type="spellEnd"/>
          </w:p>
        </w:tc>
        <w:tc>
          <w:tcPr>
            <w:tcW w:w="851" w:type="dxa"/>
          </w:tcPr>
          <w:p w14:paraId="1CFCA73B" w14:textId="7CABD93E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23A844F9" w14:textId="655E9E51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  <w:r>
              <w:rPr>
                <w:rFonts w:eastAsiaTheme="minorEastAsia" w:cstheme="minorHAnsi"/>
                <w:lang w:eastAsia="ja-JP"/>
              </w:rPr>
              <w:t>7</w:t>
            </w:r>
          </w:p>
        </w:tc>
        <w:tc>
          <w:tcPr>
            <w:tcW w:w="1276" w:type="dxa"/>
          </w:tcPr>
          <w:p w14:paraId="096AC353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5FD409D6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648A49E8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28422A17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0D5581E9" w14:textId="77777777" w:rsidR="0077429B" w:rsidRPr="008C39DC" w:rsidRDefault="0077429B" w:rsidP="002667D3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77429B" w:rsidRPr="008C39DC" w14:paraId="67A95D97" w14:textId="77777777" w:rsidTr="002667D3">
        <w:tc>
          <w:tcPr>
            <w:tcW w:w="568" w:type="dxa"/>
          </w:tcPr>
          <w:p w14:paraId="016821FA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12EC1AD3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  <w:proofErr w:type="spellEnd"/>
          </w:p>
        </w:tc>
        <w:tc>
          <w:tcPr>
            <w:tcW w:w="851" w:type="dxa"/>
          </w:tcPr>
          <w:p w14:paraId="06CDC5D2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1F2AB041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43B87279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160C6307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743FB990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4BBEC817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710F0114" w14:textId="77777777" w:rsidR="0077429B" w:rsidRPr="008C39DC" w:rsidRDefault="0077429B" w:rsidP="002667D3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67785779" w14:textId="77777777" w:rsidR="0077429B" w:rsidRPr="008C39DC" w:rsidRDefault="0077429B" w:rsidP="0077429B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EC0B332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11A750C5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5AD2539B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51DE4A6F" w14:textId="77777777" w:rsidR="0077429B" w:rsidRPr="008C39DC" w:rsidRDefault="0077429B" w:rsidP="0077429B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7F1B42CF" w14:textId="77777777" w:rsidR="0077429B" w:rsidRDefault="0077429B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ECD6F29" w14:textId="77777777" w:rsidR="0077429B" w:rsidRDefault="0077429B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0873DBA" w14:textId="53DF0B9D" w:rsidR="00F379A3" w:rsidRPr="00BF60C5" w:rsidRDefault="00F379A3" w:rsidP="0077429B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6F57F0A5" w14:textId="77777777" w:rsidR="00F379A3" w:rsidRPr="00BF60C5" w:rsidRDefault="00F379A3" w:rsidP="0077429B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>1.</w:t>
      </w:r>
      <w:r w:rsidRPr="00BF60C5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BB7CF3F" w14:textId="77777777" w:rsidR="00F379A3" w:rsidRPr="00BF60C5" w:rsidRDefault="00F379A3" w:rsidP="0077429B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>2.</w:t>
      </w:r>
      <w:r w:rsidRPr="00BF60C5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5966D8A" w14:textId="77777777" w:rsidR="00F379A3" w:rsidRPr="00BF60C5" w:rsidRDefault="00F379A3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</w:p>
    <w:p w14:paraId="770D406D" w14:textId="77777777" w:rsidR="0077429B" w:rsidRDefault="00F379A3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</w:r>
    </w:p>
    <w:p w14:paraId="50DC4E02" w14:textId="77777777" w:rsidR="0077429B" w:rsidRDefault="0077429B" w:rsidP="00BF60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6F5362E" w14:textId="526D943A" w:rsidR="00F379A3" w:rsidRPr="00BF60C5" w:rsidRDefault="00F379A3" w:rsidP="0077429B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>…………………………….</w:t>
      </w:r>
    </w:p>
    <w:p w14:paraId="5CBF1ED0" w14:textId="5F982303" w:rsidR="00F379A3" w:rsidRPr="00BF60C5" w:rsidRDefault="00F379A3" w:rsidP="000D4F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F60C5">
        <w:rPr>
          <w:rFonts w:ascii="Century Gothic" w:hAnsi="Century Gothic"/>
          <w:sz w:val="16"/>
          <w:szCs w:val="16"/>
        </w:rPr>
        <w:tab/>
      </w:r>
      <w:r w:rsidRPr="00BF60C5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BF60C5">
        <w:rPr>
          <w:rFonts w:ascii="Century Gothic" w:hAnsi="Century Gothic"/>
          <w:sz w:val="16"/>
          <w:szCs w:val="16"/>
        </w:rPr>
        <w:t>y</w:t>
      </w:r>
    </w:p>
    <w:p w14:paraId="2B0DFCC9" w14:textId="77777777" w:rsidR="00F379A3" w:rsidRPr="00BF60C5" w:rsidRDefault="00F379A3" w:rsidP="00BF60C5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F379A3" w:rsidRPr="00BF60C5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3D924" w14:textId="77777777" w:rsidR="00B7515A" w:rsidRDefault="00B7515A" w:rsidP="0040276C">
      <w:pPr>
        <w:spacing w:after="0" w:line="240" w:lineRule="auto"/>
      </w:pPr>
      <w:r>
        <w:separator/>
      </w:r>
    </w:p>
  </w:endnote>
  <w:endnote w:type="continuationSeparator" w:id="0">
    <w:p w14:paraId="2469F94D" w14:textId="77777777" w:rsidR="00B7515A" w:rsidRDefault="00B7515A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66260" w14:textId="77777777" w:rsidR="00B7515A" w:rsidRDefault="00B7515A" w:rsidP="0040276C">
      <w:pPr>
        <w:spacing w:after="0" w:line="240" w:lineRule="auto"/>
      </w:pPr>
      <w:r>
        <w:separator/>
      </w:r>
    </w:p>
  </w:footnote>
  <w:footnote w:type="continuationSeparator" w:id="0">
    <w:p w14:paraId="2A8B1C65" w14:textId="77777777" w:rsidR="00B7515A" w:rsidRDefault="00B7515A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C4682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BC4C6630"/>
    <w:lvl w:ilvl="0">
      <w:start w:val="8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22A6B"/>
    <w:multiLevelType w:val="hybridMultilevel"/>
    <w:tmpl w:val="2932BBC8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957844">
    <w:abstractNumId w:val="1"/>
  </w:num>
  <w:num w:numId="2" w16cid:durableId="1832288001">
    <w:abstractNumId w:val="2"/>
  </w:num>
  <w:num w:numId="3" w16cid:durableId="1726642020">
    <w:abstractNumId w:val="0"/>
  </w:num>
  <w:num w:numId="4" w16cid:durableId="1829514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D4FDC"/>
    <w:rsid w:val="00102403"/>
    <w:rsid w:val="00164B45"/>
    <w:rsid w:val="002A3B79"/>
    <w:rsid w:val="0040276C"/>
    <w:rsid w:val="004503E9"/>
    <w:rsid w:val="0047363C"/>
    <w:rsid w:val="00493023"/>
    <w:rsid w:val="004F0818"/>
    <w:rsid w:val="00586E6B"/>
    <w:rsid w:val="005C4144"/>
    <w:rsid w:val="00661320"/>
    <w:rsid w:val="006951BC"/>
    <w:rsid w:val="006D0A78"/>
    <w:rsid w:val="007138AC"/>
    <w:rsid w:val="00730E59"/>
    <w:rsid w:val="0077429B"/>
    <w:rsid w:val="007F0127"/>
    <w:rsid w:val="008814A2"/>
    <w:rsid w:val="009044FF"/>
    <w:rsid w:val="0096548F"/>
    <w:rsid w:val="009D7E2D"/>
    <w:rsid w:val="009E12E1"/>
    <w:rsid w:val="00A051A2"/>
    <w:rsid w:val="00A337C8"/>
    <w:rsid w:val="00AE6735"/>
    <w:rsid w:val="00B73B54"/>
    <w:rsid w:val="00B7515A"/>
    <w:rsid w:val="00BF60C5"/>
    <w:rsid w:val="00D20944"/>
    <w:rsid w:val="00E067DB"/>
    <w:rsid w:val="00E1479C"/>
    <w:rsid w:val="00E51A08"/>
    <w:rsid w:val="00EE0AAF"/>
    <w:rsid w:val="00F379A3"/>
    <w:rsid w:val="00FE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14DA37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1615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6</cp:revision>
  <dcterms:created xsi:type="dcterms:W3CDTF">2026-02-10T13:20:00Z</dcterms:created>
  <dcterms:modified xsi:type="dcterms:W3CDTF">2026-02-24T11:30:00Z</dcterms:modified>
</cp:coreProperties>
</file>