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B6A27" w:rsidRDefault="00250791" w:rsidP="00E50CD1">
      <w:pPr>
        <w:rPr>
          <w:rFonts w:ascii="Arial" w:hAnsi="Arial" w:cs="Arial"/>
          <w:b/>
          <w:sz w:val="22"/>
          <w:szCs w:val="22"/>
        </w:rPr>
      </w:pPr>
      <w:r>
        <w:rPr>
          <w:noProof/>
          <w:lang w:eastAsia="pl-PL"/>
        </w:rPr>
        <w:drawing>
          <wp:inline distT="0" distB="0" distL="0" distR="0">
            <wp:extent cx="9777730" cy="1016635"/>
            <wp:effectExtent l="0" t="0" r="0" b="0"/>
            <wp:docPr id="125883455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9130B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9130B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DC69ED" w:rsidRDefault="00F01162" w:rsidP="00DD22A5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Pompa infuzyjna jednotorowa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F01162" w:rsidP="00F0116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48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ów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250791" w:rsidP="00250791">
      <w:pPr>
        <w:spacing w:after="240"/>
        <w:ind w:left="4956" w:firstLine="70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SPECYFIKACJA TECHNICZNA</w:t>
      </w: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442"/>
        <w:gridCol w:w="9555"/>
        <w:gridCol w:w="2117"/>
        <w:gridCol w:w="2750"/>
      </w:tblGrid>
      <w:tr w:rsidR="00E50CD1" w:rsidRPr="00B2615A" w:rsidTr="00250791">
        <w:trPr>
          <w:cantSplit/>
          <w:trHeight w:val="148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250791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F01162" w:rsidRPr="00B2615A" w:rsidTr="00250791">
        <w:trPr>
          <w:cantSplit/>
          <w:trHeight w:val="800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AE10A1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Pompa strzykawkowa sterowana elektronicznie przezna</w:t>
            </w:r>
            <w:r w:rsidR="00AE10A1">
              <w:rPr>
                <w:rFonts w:ascii="Arial Narrow" w:hAnsi="Arial Narrow" w:cs="Arial"/>
                <w:sz w:val="20"/>
                <w:szCs w:val="20"/>
              </w:rPr>
              <w:t xml:space="preserve">czona do stosowania u dorosłych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do tymczasowego lub ciągłego podawania roztworów pozajelitowych i dojelitowych za pośrednictwem standardowych medycznych dróg dostępu. Do tych dróg należą m.in.: droga dożylna, dotętnicza, podskórna, zewnątrzoponowa i dojelitowa.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264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pStyle w:val="Zawartotabeli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color w:val="auto"/>
                <w:sz w:val="20"/>
                <w:szCs w:val="20"/>
              </w:rPr>
              <w:t>Zasilanie 230V 50 Hz, bezpośrednio z sieci</w:t>
            </w:r>
            <w:r w:rsidR="0058291D">
              <w:rPr>
                <w:rFonts w:ascii="Arial Narrow" w:hAnsi="Arial Narrow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314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color w:val="auto"/>
                <w:sz w:val="20"/>
                <w:szCs w:val="20"/>
              </w:rPr>
              <w:t>Klasa ochronności II lub równoważna</w:t>
            </w:r>
            <w:r w:rsidR="0058291D">
              <w:rPr>
                <w:rFonts w:ascii="Arial Narrow" w:hAnsi="Arial Narrow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278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auto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color w:val="auto"/>
                <w:sz w:val="20"/>
                <w:szCs w:val="20"/>
              </w:rPr>
              <w:t>Masa pompy gotowej do użycia poniżej 2 kg</w:t>
            </w:r>
            <w:r w:rsidR="0058291D">
              <w:rPr>
                <w:rFonts w:ascii="Arial Narrow" w:hAnsi="Arial Narrow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385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  <w:u w:val="double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Wymiary pompy (Szer. x Wys. x Gł.)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272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Przestrzeń zajmowana przez pompę: nie większa, niż 3 200 cm</w:t>
            </w:r>
            <w:r w:rsidRPr="00F01162">
              <w:rPr>
                <w:rFonts w:ascii="Arial Narrow" w:hAnsi="Arial Narrow" w:cs="Arial"/>
                <w:sz w:val="20"/>
                <w:szCs w:val="20"/>
                <w:vertAlign w:val="superscript"/>
              </w:rPr>
              <w:t>3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 przy schowanym napędzie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362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Dokładność podaży +/- 2%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268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Menu pompy w języku polskim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268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Instrukcja obsługi zaimplemetnowana w menu pompy, ułatwiająca obsługę urządzenia podczas zakładania strzykawki.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286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Stopień ochrony IP 44 lub równoważny, chroniący przed bryzgami wody z dowolnego kierunku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524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Kolorowy wyświetlacz 5", umożliwiający pełne dotykowe sterowanie i obsługę pompy; Wysoka rozdzielczość wyświetlanych informacji, min. 800x240 punktów.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294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Wbudowan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 xml:space="preserve">y uchwyt do przenoszenia pompy.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Możliwość łączenia pomp w moduły i przenoszenia bez użycia stacji dokującej 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 xml:space="preserve">-  3 pompy na jednym uchwycie.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Opcjonalnie odłączalny zatrzaskowo uchwyt do mocowania pompy do stojaków infuzyjnych, oraz szyn poziomych. Zakres regulacji min. 20-40mm.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841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Strzykawka automatycznie mocowana od przodu, chroniona przed drzwiczki pompy; Mechanizm blokujący tłok strzykawki, zabezpieczający  przedswobodnym  niekontrolowanym przepływem działający niezależnie od położenia głowicy napędowej w stosunku do tłoka strzykawki. Aktualny status strzykawki wyświetlany na ekranie pompy w formie graficznej.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371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Pompa skalibrowana do pracy ze strzykawkami o objętości 2/3,5, 10, 20, 30 i 50/60 ml różnych typów oraz różnych producentów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286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Times New Roman" w:hAnsi="Arial Narrow" w:cs="Times New Roman"/>
                <w:kern w:val="0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Zatrzaskowe mocowanie w stacji dokującej, bez konieczności przykręcania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268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Komunikacja pomiędzy pompą a stacja dokującą odbywa się za pośrednictwem IrDA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1568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Pompa wyposażona w moduł łączności bezprzewodowej WLAN w standardach 802.11a, 802.11b, 802.11g, 802.11n; umożliwiający podłączenie urządzenia do szpitalnego systemu informatycznego w standardzie HL7-IHE; Wspierane prędkości transferu WLAN 802.11a (OFDM): 6/9/12/18/24/36/48/54 Mbit/s, 802.11b (DSSS, CCK): 1/2/5.5/11 Mbit/s, 802.11g (OFDM): 6/9/12/18/24/36/48/54 Mbit/s 802.11n (OFDM, HT20, MCS 0-15):Full guard interval: 6.5/13/19.5/26/39/52/58.5/65/78/104/117 Mbit/s, Short guard interval: 1.2/14.4/21.7/28.9/29.9/43.3/57.8/65/72.2/86.7/115.6/130/144.4 Mbit/s; Standardy bezpieczeństwa: Wireless Equivalent Privacy (WEP), Wi-Fi Protected Access (WPA), IEEE 802.11i (WPA2),FIPS 140-2 Level 1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556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Pompa przygotowana do podłączenia do szpitalnego systemu informatycznego w standardzie HL7-IHE; Pompa wyposażona w bufor do przechowania inf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ormacji w przypadku utraty łącz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ności. Całość komunikacji szyfrowana na zasadzie end-to-end.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294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Pompy wyposażone w funkcję automatycznego przejmowania infuzji przez kolejną pompę natychmiast po zakończeniu infuzji w poprzedniej: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br/>
              <w:t xml:space="preserve">- podjęcie infuzji przez  pompę przejmującą bez konieczności naciskania przycisku 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START ani jakiegokolwiek innego,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br/>
              <w:t>- w obu pompach konieczność użycia strzykawek o tej samej pojemności ale mo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gą być różnych producentów,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br/>
              <w:t>- pompy podczas pracy w trybie przejęcia są czytelnie opisane symbolami jednoznacznie wskazującymi która pompa prowadzi infuzję a która oczekuje na podjęcie pracy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br/>
              <w:t>- programowanie pracy w trybie przejęcie odbywa się z pozycji ekranu dotykowego pompy, wykluczając ryzyko pomyłki zaprogramowania niewłaściwej pompy.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345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Możliwość zdalnej aktualizacji oprogramowania pompy, oraz biblioteki leków bez konieczności przerywania pracy pompy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280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Zakres prędkości infuzji min. 0,01 do 1800 ml/h ; Zmiana prędkości podaży bez przerywania infuzji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369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Wstępnie wybierana objętość w zakresie 0,01 - 9999 ml, w zakresie 0,01 ml — 99,99 ml programowana w krokach co 0,01 ml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276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Wstępnie wybierany czas w zakresie 00h01min - 99h59min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287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Automatyczna kalkulacja prędkości podaży po wprowadzeniu objętości i czasu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276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Możliwość programowania parametrów infuzji w mg, mcg, ng, IE, mmol, lub mEq ,z uwzględnieniem lub nie masy ciała w odniesieniu do czasu ( np. mg/kg/min; mg/kg/h; mg/kg/24h)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352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Pompa wyposażona w system redukcji błędów dawki.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352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System automatycznej redukcji bolusa po alarmie ciśnienia okluzji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352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Bolus: Prędkość bolusa możliwa do zaprog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ramowania w zakresie1-1800 ml/h.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352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Tryby bolusa: Bolus na żądanie; Bolus programowany z automa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tyczną ka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lkulacją prędkości po 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wprowadzeniu objętości i czasu.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302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Możliwość podaży bolusa w jednostkach mg, mcg, mmol, mEq oraz jednostkach wagowych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292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58291D" w:rsidP="00F01162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>ryb stand-by w zakresie od 1 min do 24 godzin z programowaniem co 1 minutę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304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Regulacja intensywności podśw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etlenia na 9 poziomach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1079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58291D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Biblioteka leków z możli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>wością wpisu min. 10000 leków, z możliwością podzielenia na min. 30 k</w:t>
            </w:r>
            <w:r>
              <w:rPr>
                <w:rFonts w:ascii="Arial Narrow" w:hAnsi="Arial Narrow" w:cs="Arial"/>
                <w:sz w:val="20"/>
                <w:szCs w:val="20"/>
              </w:rPr>
              <w:t>ategorii i 15 profili pacjentów.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 xml:space="preserve"> Każdy lek może być powiązany z limitami miękkimi, z limitami twardymi, oraz kolorowymi etykietami - min. 30 k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ombinacji kolorystycznych.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 xml:space="preserve"> Nazwa leku stale widoczna na wyśw</w:t>
            </w:r>
            <w:r>
              <w:rPr>
                <w:rFonts w:ascii="Arial Narrow" w:hAnsi="Arial Narrow" w:cs="Arial"/>
                <w:sz w:val="20"/>
                <w:szCs w:val="20"/>
              </w:rPr>
              <w:t>ietlaczu pompy, również po wystą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pieniu dowolnego alarmu.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 xml:space="preserve"> Możliwość wprowadzenia do pompy biblioteki leków bezpośrednio z komputera, lub zdalnie poprzez sieć szpitalną z centralnego serwera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851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Możliwość opcjonalnego rozszerzenia funkcjonalności pompy strzykawkowej o tryb TCI dla Propofolu, Remifentanylu i Sufentanylu, realizowanego przy użyciu algorytmu opartego na trójkompartmentowym modelu farmakokinetycznym. Dostępne modele: March, Schnider, Eleveld, Minto, Gepts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326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Na ekranie pompy stale dostępna informacja o obecnym stężeniu w osoczu oraz obecnym stężeniu w miejscu oddziaływania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326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Wizualizacja graficzna stanu znieczulenia dwoma różnymi kolorami, innymi dla osocza i miejsca oddziaływania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600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Ciśnienie okluzji możliwe do ustawienia na min. 9 poziomach 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w zakresie od 75 do 900 mmHg; Ws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kaźnik ciśnienia okluzji stale widoczny na wyświetlaczu pompy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835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Wbudow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 xml:space="preserve">any akumulator litowo – jonowy.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Zasilanie z wbudowanego akumulatora ok. 10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 xml:space="preserve"> godz. przy przepływie 25 ml/h.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Czas p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 xml:space="preserve">onownego ładowania ok. 5 godz.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Na wyświetlaczu widoczna precyzyjna informacja o pozostałym czasie pracy aku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 xml:space="preserve">mulatora w godzinach i minutach.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 Automatyczne łado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wanie akumulatora w pompie podłą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czonej do zasilania sieciowego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326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Pobór mocy w normalnych warunkach pracy ok. 4 W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326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EE0425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Rozbudowan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y system alarmów wizualnych i dź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więkowych.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326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Historia pracy dost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ępna z menu pompy, z możliwością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 zapisania do 1000 zdarzeń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250791">
        <w:trPr>
          <w:cantSplit/>
          <w:trHeight w:val="549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Możliwość wprowadzenia informacji o dacie następnego przeglądu technicznego i wyświetlania jej przy każdym uruchomieniu pompy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2C1A" w:rsidRPr="00B2615A" w:rsidTr="00250791">
        <w:trPr>
          <w:cantSplit/>
          <w:trHeight w:val="416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652C1A" w:rsidRDefault="00652C1A" w:rsidP="000B3B20">
            <w:pPr>
              <w:rPr>
                <w:rFonts w:ascii="Arial Narrow" w:hAnsi="Arial Narrow" w:cs="Arial"/>
                <w:sz w:val="20"/>
                <w:szCs w:val="20"/>
              </w:rPr>
            </w:pPr>
            <w:r w:rsidRPr="00652C1A">
              <w:rPr>
                <w:rFonts w:ascii="Arial Narrow" w:hAnsi="Arial Narrow" w:cs="Arial"/>
                <w:sz w:val="20"/>
                <w:szCs w:val="20"/>
              </w:rPr>
              <w:t>Dodatkowo: uchwyt zatrzaskowo łączony z pompą, do mocowania poje</w:t>
            </w:r>
            <w:r>
              <w:rPr>
                <w:rFonts w:ascii="Arial Narrow" w:hAnsi="Arial Narrow" w:cs="Arial"/>
                <w:sz w:val="20"/>
                <w:szCs w:val="20"/>
              </w:rPr>
              <w:t>dynczej pompy poza stacją dokują</w:t>
            </w:r>
            <w:r w:rsidR="000B3B20">
              <w:rPr>
                <w:rFonts w:ascii="Arial Narrow" w:hAnsi="Arial Narrow" w:cs="Arial"/>
                <w:sz w:val="20"/>
                <w:szCs w:val="20"/>
              </w:rPr>
              <w:t>cą - 20</w:t>
            </w:r>
            <w:r w:rsidRPr="00652C1A">
              <w:rPr>
                <w:rFonts w:ascii="Arial Narrow" w:hAnsi="Arial Narrow" w:cs="Arial"/>
                <w:sz w:val="20"/>
                <w:szCs w:val="20"/>
              </w:rPr>
              <w:t xml:space="preserve"> szt.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Default="00652C1A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2C1A" w:rsidRPr="00B2615A" w:rsidTr="00250791">
        <w:trPr>
          <w:cantSplit/>
          <w:trHeight w:val="326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652C1A" w:rsidRDefault="00652C1A" w:rsidP="00652C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52C1A">
              <w:rPr>
                <w:rFonts w:ascii="Arial Narrow" w:hAnsi="Arial Narrow" w:cs="Arial"/>
                <w:sz w:val="20"/>
                <w:szCs w:val="20"/>
              </w:rPr>
              <w:t>Dodatkowo: system mocowania do stojaków/rur pionowych lub szyn poziomych jednocześnie do 4</w:t>
            </w:r>
            <w:r w:rsidR="000B3B20">
              <w:rPr>
                <w:rFonts w:ascii="Arial Narrow" w:hAnsi="Arial Narrow" w:cs="Arial"/>
                <w:sz w:val="20"/>
                <w:szCs w:val="20"/>
              </w:rPr>
              <w:t xml:space="preserve"> pomp infuzyjnych na raz - 7</w:t>
            </w:r>
            <w:r w:rsidR="00EE7A5F">
              <w:rPr>
                <w:rFonts w:ascii="Arial Narrow" w:hAnsi="Arial Narrow" w:cs="Arial"/>
                <w:sz w:val="20"/>
                <w:szCs w:val="20"/>
              </w:rPr>
              <w:t xml:space="preserve"> kpl</w:t>
            </w:r>
            <w:r w:rsidRPr="00652C1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Default="00652C1A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2C1A" w:rsidRPr="00B2615A" w:rsidTr="00250791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250791" w:rsidRDefault="00652C1A" w:rsidP="002D6B1A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bookmarkStart w:id="0" w:name="_Hlk481595046"/>
            <w:r w:rsidRPr="0025079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652C1A" w:rsidRPr="00B2615A" w:rsidTr="00250791">
        <w:trPr>
          <w:cantSplit/>
          <w:trHeight w:val="337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CE0A78" w:rsidRDefault="00652C1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nowe, rok produkcji 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nie starszy niż 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2025.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2C1A" w:rsidRPr="00B2615A" w:rsidTr="00250791">
        <w:trPr>
          <w:cantSplit/>
          <w:trHeight w:val="337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250791" w:rsidRDefault="00652C1A" w:rsidP="00B2615A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23205F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23205F" w:rsidRPr="0023205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23205F" w:rsidRPr="0023205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23205F" w:rsidRPr="0023205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23205F" w:rsidRPr="0023205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23205F" w:rsidRPr="0023205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23205F" w:rsidRPr="0023205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2C1A" w:rsidRPr="00B2615A" w:rsidTr="00250791">
        <w:trPr>
          <w:cantSplit/>
          <w:trHeight w:val="337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CE0A78" w:rsidRDefault="00652C1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2C1A" w:rsidRPr="00B2615A" w:rsidTr="00250791">
        <w:trPr>
          <w:cantSplit/>
          <w:trHeight w:val="337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CE0A78" w:rsidRDefault="00652C1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B2E48" w:rsidRPr="00B2615A" w:rsidTr="00250791">
        <w:trPr>
          <w:cantSplit/>
          <w:trHeight w:val="337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2E48" w:rsidRPr="00B2615A" w:rsidRDefault="002B2E48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2E48" w:rsidRPr="00A059D6" w:rsidRDefault="00A059D6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A059D6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2E48" w:rsidRPr="00B2615A" w:rsidRDefault="002B2E48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2E48" w:rsidRPr="00B2615A" w:rsidRDefault="002B2E48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2C1A" w:rsidRPr="00B2615A" w:rsidTr="00250791">
        <w:trPr>
          <w:cantSplit/>
          <w:trHeight w:val="855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CE0A78" w:rsidRDefault="00652C1A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652C1A" w:rsidRDefault="00652C1A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645744" w:rsidRPr="00CE0A78" w:rsidRDefault="00645744" w:rsidP="00645744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dokonania instalacji we wskazanym miejscu przez Zamawiającego,</w:t>
            </w:r>
          </w:p>
          <w:p w:rsidR="00652C1A" w:rsidRPr="00CE0A78" w:rsidRDefault="00652C1A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2C1A" w:rsidRPr="00B2615A" w:rsidTr="00250791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CE0A78" w:rsidRDefault="00652C1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652C1A" w:rsidRPr="00B2615A" w:rsidTr="00250791">
        <w:trPr>
          <w:cantSplit/>
          <w:trHeight w:hRule="exact" w:val="498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CE0A78" w:rsidRDefault="00652C1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52C1A" w:rsidRPr="00B2615A" w:rsidRDefault="00652C1A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2C1A" w:rsidRPr="00B2615A" w:rsidTr="00250791">
        <w:trPr>
          <w:cantSplit/>
          <w:trHeight w:hRule="exact" w:val="492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CE0A78" w:rsidRDefault="00652C1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2C1A" w:rsidRPr="00B2615A" w:rsidTr="00250791">
        <w:trPr>
          <w:cantSplit/>
          <w:trHeight w:hRule="exact" w:val="422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CE0A78" w:rsidRDefault="00652C1A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2C1A" w:rsidRPr="00B2615A" w:rsidTr="00250791">
        <w:trPr>
          <w:cantSplit/>
          <w:trHeight w:hRule="exact" w:val="555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CE0A78" w:rsidRDefault="00652C1A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2C1A" w:rsidRPr="00B2615A" w:rsidTr="00250791">
        <w:trPr>
          <w:cantSplit/>
          <w:trHeight w:hRule="exact" w:val="435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CE0A78" w:rsidRDefault="00652C1A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2C1A" w:rsidRPr="00B2615A" w:rsidTr="0023205F">
        <w:trPr>
          <w:cantSplit/>
          <w:trHeight w:hRule="exact" w:val="844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23205F" w:rsidRDefault="0023205F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3205F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</w:t>
            </w:r>
            <w:r w:rsidR="008C6FE7">
              <w:rPr>
                <w:rFonts w:ascii="Arial Narrow" w:hAnsi="Arial Narrow" w:cs="Arial"/>
                <w:sz w:val="20"/>
                <w:szCs w:val="20"/>
              </w:rPr>
              <w:t xml:space="preserve"> w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 xml:space="preserve"> 100% użytkowanie sprzętu zgodnie z wymaganiami producenta zawarty</w:t>
            </w:r>
            <w:r w:rsidR="008C6FE7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 xml:space="preserve"> w cenie oferowanego urządzenia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2C1A" w:rsidRPr="00B2615A" w:rsidTr="00250791">
        <w:trPr>
          <w:cantSplit/>
          <w:trHeight w:hRule="exact" w:val="544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2C1A" w:rsidRPr="00B2615A" w:rsidTr="00250791">
        <w:trPr>
          <w:cantSplit/>
          <w:trHeight w:hRule="exact" w:val="752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52C1A" w:rsidRPr="00B2615A" w:rsidTr="00250791">
        <w:trPr>
          <w:cantSplit/>
          <w:trHeight w:hRule="exact" w:val="526"/>
          <w:jc w:val="center"/>
        </w:trPr>
        <w:tc>
          <w:tcPr>
            <w:tcW w:w="14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A059D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Dostępność </w:t>
            </w:r>
            <w:r w:rsidR="00A059D6">
              <w:rPr>
                <w:rFonts w:ascii="Arial Narrow" w:hAnsi="Arial Narrow" w:cs="Arial"/>
                <w:sz w:val="20"/>
                <w:szCs w:val="20"/>
                <w:lang w:eastAsia="pl-PL"/>
              </w:rPr>
              <w:t>części zamiennych przez okres min.5</w:t>
            </w: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 w:rsidR="00A059D6">
              <w:rPr>
                <w:rFonts w:ascii="Arial Narrow" w:hAnsi="Arial Narrow" w:cs="Arial"/>
                <w:sz w:val="20"/>
                <w:szCs w:val="20"/>
                <w:lang w:eastAsia="pl-PL"/>
              </w:rPr>
              <w:t>, umożliwiająca dokonywanie napraw po zakończeniu okresu gwarancji w okresie trwałości projektu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2C1A" w:rsidRPr="00B2615A" w:rsidRDefault="00652C1A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B11D04" w:rsidRDefault="00B11D04" w:rsidP="00B11D04">
      <w:pPr>
        <w:ind w:left="7080" w:firstLine="708"/>
        <w:rPr>
          <w:rFonts w:ascii="Arial" w:hAnsi="Arial" w:cs="Arial"/>
          <w:sz w:val="22"/>
          <w:szCs w:val="22"/>
        </w:rPr>
      </w:pPr>
    </w:p>
    <w:p w:rsidR="00F87776" w:rsidRPr="001B6A27" w:rsidRDefault="00B11D04" w:rsidP="00B11D04">
      <w:pPr>
        <w:ind w:left="849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KWALIFIKOWANY PODPIS WYKONAWCY</w:t>
      </w:r>
    </w:p>
    <w:sectPr w:rsidR="00F87776" w:rsidRPr="001B6A27" w:rsidSect="00BA680F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66CD" w:rsidRDefault="002266CD" w:rsidP="004845EA">
      <w:r>
        <w:separator/>
      </w:r>
    </w:p>
  </w:endnote>
  <w:endnote w:type="continuationSeparator" w:id="1">
    <w:p w:rsidR="002266CD" w:rsidRDefault="002266CD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E53CC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250791" w:rsidRDefault="00E53CC3">
    <w:pPr>
      <w:pStyle w:val="Stopka"/>
      <w:framePr w:wrap="around" w:vAnchor="text" w:hAnchor="margin" w:xAlign="right" w:y="1"/>
      <w:rPr>
        <w:rStyle w:val="Numerstrony"/>
        <w:rFonts w:ascii="Arial Narrow" w:hAnsi="Arial Narrow"/>
        <w:sz w:val="16"/>
        <w:szCs w:val="16"/>
      </w:rPr>
    </w:pPr>
    <w:r w:rsidRPr="00250791">
      <w:rPr>
        <w:rStyle w:val="Numerstrony"/>
        <w:rFonts w:ascii="Arial Narrow" w:hAnsi="Arial Narrow"/>
        <w:sz w:val="16"/>
        <w:szCs w:val="16"/>
      </w:rPr>
      <w:fldChar w:fldCharType="begin"/>
    </w:r>
    <w:r w:rsidR="001B6A27" w:rsidRPr="00250791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250791">
      <w:rPr>
        <w:rStyle w:val="Numerstrony"/>
        <w:rFonts w:ascii="Arial Narrow" w:hAnsi="Arial Narrow"/>
        <w:sz w:val="16"/>
        <w:szCs w:val="16"/>
      </w:rPr>
      <w:fldChar w:fldCharType="separate"/>
    </w:r>
    <w:r w:rsidR="00BE396F">
      <w:rPr>
        <w:rStyle w:val="Numerstrony"/>
        <w:rFonts w:ascii="Arial Narrow" w:hAnsi="Arial Narrow"/>
        <w:noProof/>
        <w:sz w:val="16"/>
        <w:szCs w:val="16"/>
      </w:rPr>
      <w:t>3</w:t>
    </w:r>
    <w:r w:rsidRPr="00250791">
      <w:rPr>
        <w:rStyle w:val="Numerstrony"/>
        <w:rFonts w:ascii="Arial Narrow" w:hAnsi="Arial Narrow"/>
        <w:sz w:val="16"/>
        <w:szCs w:val="16"/>
      </w:rPr>
      <w:fldChar w:fldCharType="end"/>
    </w:r>
  </w:p>
  <w:p w:rsidR="001B6A27" w:rsidRPr="00A208F1" w:rsidRDefault="001B6A27" w:rsidP="00250791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66CD" w:rsidRDefault="002266CD" w:rsidP="004845EA">
      <w:r>
        <w:separator/>
      </w:r>
    </w:p>
  </w:footnote>
  <w:footnote w:type="continuationSeparator" w:id="1">
    <w:p w:rsidR="002266CD" w:rsidRDefault="002266CD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14F51" w:rsidP="00A059D6">
    <w:pPr>
      <w:pStyle w:val="Nagwek"/>
      <w:tabs>
        <w:tab w:val="clear" w:pos="4536"/>
        <w:tab w:val="clear" w:pos="9072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 w:rsidR="00A059D6">
      <w:rPr>
        <w:rFonts w:ascii="Arial Narrow" w:hAnsi="Arial Narrow"/>
        <w:sz w:val="22"/>
      </w:rPr>
      <w:t>Załącznik nr 6A do SWZ</w:t>
    </w:r>
  </w:p>
  <w:p w:rsidR="001B6A27" w:rsidRPr="001F32C3" w:rsidRDefault="001B6A27" w:rsidP="003C7ED6">
    <w:pPr>
      <w:pStyle w:val="Nagwek"/>
      <w:jc w:val="center"/>
      <w:rPr>
        <w:rFonts w:ascii="Arial Narrow" w:hAnsi="Arial Narrow"/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9201801"/>
    <w:multiLevelType w:val="hybridMultilevel"/>
    <w:tmpl w:val="0EBCB712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D401B3"/>
    <w:multiLevelType w:val="hybridMultilevel"/>
    <w:tmpl w:val="C6924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BE7DCF"/>
    <w:multiLevelType w:val="hybridMultilevel"/>
    <w:tmpl w:val="635C5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92F19"/>
    <w:multiLevelType w:val="hybridMultilevel"/>
    <w:tmpl w:val="101E9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C918EF"/>
    <w:multiLevelType w:val="hybridMultilevel"/>
    <w:tmpl w:val="3940D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B9292F"/>
    <w:multiLevelType w:val="hybridMultilevel"/>
    <w:tmpl w:val="76D67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E67238"/>
    <w:multiLevelType w:val="hybridMultilevel"/>
    <w:tmpl w:val="2230D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6EAB6E39"/>
    <w:multiLevelType w:val="hybridMultilevel"/>
    <w:tmpl w:val="AF66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2C3DAA"/>
    <w:multiLevelType w:val="hybridMultilevel"/>
    <w:tmpl w:val="DA9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2"/>
  </w:num>
  <w:num w:numId="7">
    <w:abstractNumId w:val="5"/>
  </w:num>
  <w:num w:numId="8">
    <w:abstractNumId w:val="6"/>
  </w:num>
  <w:num w:numId="9">
    <w:abstractNumId w:val="17"/>
  </w:num>
  <w:num w:numId="10">
    <w:abstractNumId w:val="18"/>
  </w:num>
  <w:num w:numId="11">
    <w:abstractNumId w:val="10"/>
  </w:num>
  <w:num w:numId="12">
    <w:abstractNumId w:val="7"/>
  </w:num>
  <w:num w:numId="13">
    <w:abstractNumId w:val="9"/>
  </w:num>
  <w:num w:numId="14">
    <w:abstractNumId w:val="16"/>
  </w:num>
  <w:num w:numId="15">
    <w:abstractNumId w:val="8"/>
  </w:num>
  <w:num w:numId="16">
    <w:abstractNumId w:val="14"/>
  </w:num>
  <w:num w:numId="17">
    <w:abstractNumId w:val="19"/>
  </w:num>
  <w:num w:numId="18">
    <w:abstractNumId w:val="11"/>
  </w:num>
  <w:num w:numId="19">
    <w:abstractNumId w:val="4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25C77"/>
    <w:rsid w:val="000311D7"/>
    <w:rsid w:val="000322B8"/>
    <w:rsid w:val="00047390"/>
    <w:rsid w:val="0005668E"/>
    <w:rsid w:val="0005755D"/>
    <w:rsid w:val="00073CEE"/>
    <w:rsid w:val="00077D92"/>
    <w:rsid w:val="000B3B20"/>
    <w:rsid w:val="000C7F7D"/>
    <w:rsid w:val="000F09AA"/>
    <w:rsid w:val="001118CB"/>
    <w:rsid w:val="00113058"/>
    <w:rsid w:val="00114B09"/>
    <w:rsid w:val="00116786"/>
    <w:rsid w:val="00121A08"/>
    <w:rsid w:val="00121F55"/>
    <w:rsid w:val="00143064"/>
    <w:rsid w:val="00146128"/>
    <w:rsid w:val="00157765"/>
    <w:rsid w:val="001A3016"/>
    <w:rsid w:val="001B6A27"/>
    <w:rsid w:val="001C507C"/>
    <w:rsid w:val="001D06DE"/>
    <w:rsid w:val="001D3DA9"/>
    <w:rsid w:val="001D5CE1"/>
    <w:rsid w:val="001E3FF9"/>
    <w:rsid w:val="00200756"/>
    <w:rsid w:val="002058CE"/>
    <w:rsid w:val="00222F93"/>
    <w:rsid w:val="002266CD"/>
    <w:rsid w:val="0023205F"/>
    <w:rsid w:val="00237EBA"/>
    <w:rsid w:val="0025042F"/>
    <w:rsid w:val="00250791"/>
    <w:rsid w:val="002539DD"/>
    <w:rsid w:val="00260099"/>
    <w:rsid w:val="0028054C"/>
    <w:rsid w:val="0028328C"/>
    <w:rsid w:val="00294705"/>
    <w:rsid w:val="0029780E"/>
    <w:rsid w:val="002A658E"/>
    <w:rsid w:val="002B2E48"/>
    <w:rsid w:val="002B7E5C"/>
    <w:rsid w:val="002D6B1A"/>
    <w:rsid w:val="002F1034"/>
    <w:rsid w:val="002F1129"/>
    <w:rsid w:val="002F7F00"/>
    <w:rsid w:val="003005F9"/>
    <w:rsid w:val="00315E05"/>
    <w:rsid w:val="00321F18"/>
    <w:rsid w:val="0033360C"/>
    <w:rsid w:val="00333E8F"/>
    <w:rsid w:val="00340DDE"/>
    <w:rsid w:val="003527B5"/>
    <w:rsid w:val="003561CF"/>
    <w:rsid w:val="00371915"/>
    <w:rsid w:val="0038515D"/>
    <w:rsid w:val="00391BAB"/>
    <w:rsid w:val="00393C10"/>
    <w:rsid w:val="003A2D88"/>
    <w:rsid w:val="003B2C01"/>
    <w:rsid w:val="003B4C8B"/>
    <w:rsid w:val="003B59C7"/>
    <w:rsid w:val="003C7ED6"/>
    <w:rsid w:val="003D2C4E"/>
    <w:rsid w:val="003D506E"/>
    <w:rsid w:val="00411422"/>
    <w:rsid w:val="004140EF"/>
    <w:rsid w:val="00417F0F"/>
    <w:rsid w:val="00433E3D"/>
    <w:rsid w:val="004346E6"/>
    <w:rsid w:val="004369F7"/>
    <w:rsid w:val="00450E33"/>
    <w:rsid w:val="004845EA"/>
    <w:rsid w:val="004B0CC1"/>
    <w:rsid w:val="004B4B63"/>
    <w:rsid w:val="004B5737"/>
    <w:rsid w:val="004C00BC"/>
    <w:rsid w:val="004D552C"/>
    <w:rsid w:val="004E6266"/>
    <w:rsid w:val="004F1D59"/>
    <w:rsid w:val="004F60B4"/>
    <w:rsid w:val="004F7BB1"/>
    <w:rsid w:val="005056AC"/>
    <w:rsid w:val="00506A82"/>
    <w:rsid w:val="0051288E"/>
    <w:rsid w:val="005255C5"/>
    <w:rsid w:val="00525D8D"/>
    <w:rsid w:val="0052789D"/>
    <w:rsid w:val="00530E8B"/>
    <w:rsid w:val="00545413"/>
    <w:rsid w:val="00552152"/>
    <w:rsid w:val="0055517C"/>
    <w:rsid w:val="0057334F"/>
    <w:rsid w:val="0058291D"/>
    <w:rsid w:val="0059752D"/>
    <w:rsid w:val="005A0ED6"/>
    <w:rsid w:val="005A5A60"/>
    <w:rsid w:val="005B28BD"/>
    <w:rsid w:val="005B29D0"/>
    <w:rsid w:val="005B5BB8"/>
    <w:rsid w:val="005C5C64"/>
    <w:rsid w:val="005D3FED"/>
    <w:rsid w:val="005D7755"/>
    <w:rsid w:val="005F1E28"/>
    <w:rsid w:val="005F6E5F"/>
    <w:rsid w:val="006030CC"/>
    <w:rsid w:val="006077B6"/>
    <w:rsid w:val="00615496"/>
    <w:rsid w:val="00632DB1"/>
    <w:rsid w:val="0063325A"/>
    <w:rsid w:val="00641C2C"/>
    <w:rsid w:val="00645744"/>
    <w:rsid w:val="00646E3A"/>
    <w:rsid w:val="006513D7"/>
    <w:rsid w:val="00652C1A"/>
    <w:rsid w:val="00664308"/>
    <w:rsid w:val="0067442B"/>
    <w:rsid w:val="006848E7"/>
    <w:rsid w:val="0069176A"/>
    <w:rsid w:val="006922CA"/>
    <w:rsid w:val="006A19EA"/>
    <w:rsid w:val="006C2FEB"/>
    <w:rsid w:val="006E034F"/>
    <w:rsid w:val="006E12D2"/>
    <w:rsid w:val="006E42AD"/>
    <w:rsid w:val="006F0DA9"/>
    <w:rsid w:val="00723F82"/>
    <w:rsid w:val="00730B19"/>
    <w:rsid w:val="00731F17"/>
    <w:rsid w:val="00762EAA"/>
    <w:rsid w:val="00791DD0"/>
    <w:rsid w:val="007A253C"/>
    <w:rsid w:val="007A6BB7"/>
    <w:rsid w:val="007B36E2"/>
    <w:rsid w:val="007B78B4"/>
    <w:rsid w:val="007E1FB8"/>
    <w:rsid w:val="007F5797"/>
    <w:rsid w:val="007F700C"/>
    <w:rsid w:val="008117CD"/>
    <w:rsid w:val="00817993"/>
    <w:rsid w:val="008205F2"/>
    <w:rsid w:val="00836C82"/>
    <w:rsid w:val="008521A6"/>
    <w:rsid w:val="00854B8D"/>
    <w:rsid w:val="008642E3"/>
    <w:rsid w:val="00864487"/>
    <w:rsid w:val="008808F8"/>
    <w:rsid w:val="008809D3"/>
    <w:rsid w:val="00880CE2"/>
    <w:rsid w:val="008845A7"/>
    <w:rsid w:val="00893E37"/>
    <w:rsid w:val="008B47BA"/>
    <w:rsid w:val="008C1554"/>
    <w:rsid w:val="008C6FE7"/>
    <w:rsid w:val="008D5D80"/>
    <w:rsid w:val="008E2847"/>
    <w:rsid w:val="008E2A03"/>
    <w:rsid w:val="008F264D"/>
    <w:rsid w:val="008F2B12"/>
    <w:rsid w:val="00905690"/>
    <w:rsid w:val="009077B6"/>
    <w:rsid w:val="009130B6"/>
    <w:rsid w:val="00920358"/>
    <w:rsid w:val="009348A9"/>
    <w:rsid w:val="009375BB"/>
    <w:rsid w:val="009573C1"/>
    <w:rsid w:val="009620F5"/>
    <w:rsid w:val="00965CB6"/>
    <w:rsid w:val="00976AB0"/>
    <w:rsid w:val="00996C96"/>
    <w:rsid w:val="009B3952"/>
    <w:rsid w:val="009B4A03"/>
    <w:rsid w:val="009B6FB8"/>
    <w:rsid w:val="009C28EE"/>
    <w:rsid w:val="009C488F"/>
    <w:rsid w:val="009C57FF"/>
    <w:rsid w:val="009D0605"/>
    <w:rsid w:val="009D3056"/>
    <w:rsid w:val="009D3148"/>
    <w:rsid w:val="009F580C"/>
    <w:rsid w:val="00A059D6"/>
    <w:rsid w:val="00A67A93"/>
    <w:rsid w:val="00A8225F"/>
    <w:rsid w:val="00AA0E02"/>
    <w:rsid w:val="00AA1593"/>
    <w:rsid w:val="00AA75DA"/>
    <w:rsid w:val="00AB0DB0"/>
    <w:rsid w:val="00AB3DFA"/>
    <w:rsid w:val="00AC0561"/>
    <w:rsid w:val="00AC2A81"/>
    <w:rsid w:val="00AD0C91"/>
    <w:rsid w:val="00AD7578"/>
    <w:rsid w:val="00AD777D"/>
    <w:rsid w:val="00AD7FA7"/>
    <w:rsid w:val="00AE10A1"/>
    <w:rsid w:val="00AE38BA"/>
    <w:rsid w:val="00AF2877"/>
    <w:rsid w:val="00B11D04"/>
    <w:rsid w:val="00B15658"/>
    <w:rsid w:val="00B2615A"/>
    <w:rsid w:val="00B37498"/>
    <w:rsid w:val="00B71D3A"/>
    <w:rsid w:val="00BA680F"/>
    <w:rsid w:val="00BC2D44"/>
    <w:rsid w:val="00BE396F"/>
    <w:rsid w:val="00C14F51"/>
    <w:rsid w:val="00C15AA1"/>
    <w:rsid w:val="00C33C4F"/>
    <w:rsid w:val="00C375C6"/>
    <w:rsid w:val="00C4344C"/>
    <w:rsid w:val="00C55CC2"/>
    <w:rsid w:val="00C672D0"/>
    <w:rsid w:val="00C7558F"/>
    <w:rsid w:val="00C923AC"/>
    <w:rsid w:val="00C93649"/>
    <w:rsid w:val="00C96D5F"/>
    <w:rsid w:val="00CA4DA8"/>
    <w:rsid w:val="00CB1025"/>
    <w:rsid w:val="00CB2AE0"/>
    <w:rsid w:val="00CB683F"/>
    <w:rsid w:val="00CC2331"/>
    <w:rsid w:val="00CC251B"/>
    <w:rsid w:val="00CD5830"/>
    <w:rsid w:val="00CE0A07"/>
    <w:rsid w:val="00CE0A78"/>
    <w:rsid w:val="00CF6535"/>
    <w:rsid w:val="00D04817"/>
    <w:rsid w:val="00D13B8F"/>
    <w:rsid w:val="00D23C37"/>
    <w:rsid w:val="00D34851"/>
    <w:rsid w:val="00D4776A"/>
    <w:rsid w:val="00D63965"/>
    <w:rsid w:val="00DA0D28"/>
    <w:rsid w:val="00DA42CE"/>
    <w:rsid w:val="00DB21C6"/>
    <w:rsid w:val="00DB3882"/>
    <w:rsid w:val="00DB39C5"/>
    <w:rsid w:val="00DC5F27"/>
    <w:rsid w:val="00DC69ED"/>
    <w:rsid w:val="00DD22A5"/>
    <w:rsid w:val="00DD351C"/>
    <w:rsid w:val="00DF2AF1"/>
    <w:rsid w:val="00DF488C"/>
    <w:rsid w:val="00DF6DBA"/>
    <w:rsid w:val="00DF71DF"/>
    <w:rsid w:val="00E05144"/>
    <w:rsid w:val="00E123E4"/>
    <w:rsid w:val="00E33B89"/>
    <w:rsid w:val="00E50CD1"/>
    <w:rsid w:val="00E52DF7"/>
    <w:rsid w:val="00E53A8E"/>
    <w:rsid w:val="00E53CC3"/>
    <w:rsid w:val="00E56F64"/>
    <w:rsid w:val="00E66915"/>
    <w:rsid w:val="00E762D8"/>
    <w:rsid w:val="00E92C2F"/>
    <w:rsid w:val="00E94A1F"/>
    <w:rsid w:val="00E96A35"/>
    <w:rsid w:val="00EB51A3"/>
    <w:rsid w:val="00EC366B"/>
    <w:rsid w:val="00EC36D0"/>
    <w:rsid w:val="00EE0425"/>
    <w:rsid w:val="00EE7A5F"/>
    <w:rsid w:val="00F01162"/>
    <w:rsid w:val="00F03450"/>
    <w:rsid w:val="00F040BC"/>
    <w:rsid w:val="00F2610F"/>
    <w:rsid w:val="00F32B43"/>
    <w:rsid w:val="00F50B2F"/>
    <w:rsid w:val="00F55634"/>
    <w:rsid w:val="00F77582"/>
    <w:rsid w:val="00F85592"/>
    <w:rsid w:val="00F87776"/>
    <w:rsid w:val="00F878E3"/>
    <w:rsid w:val="00F9150E"/>
    <w:rsid w:val="00F97014"/>
    <w:rsid w:val="00F97E0B"/>
    <w:rsid w:val="00FB1FC6"/>
    <w:rsid w:val="00FC6728"/>
    <w:rsid w:val="00FF018C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Zawartotabeli">
    <w:name w:val="Zawartość tabeli"/>
    <w:basedOn w:val="Normalny"/>
    <w:qFormat/>
    <w:rsid w:val="0067442B"/>
    <w:pPr>
      <w:widowControl/>
      <w:suppressLineNumbers/>
      <w:suppressAutoHyphens w:val="0"/>
      <w:autoSpaceDN/>
      <w:textAlignment w:val="auto"/>
    </w:pPr>
    <w:rPr>
      <w:rFonts w:ascii="Liberation Serif" w:hAnsi="Liberation Serif"/>
      <w:color w:val="00000A"/>
      <w:kern w:val="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58936-1D86-42EA-8680-70C568BD2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1330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2026-02-24T11:55:00Z</cp:lastPrinted>
  <dcterms:created xsi:type="dcterms:W3CDTF">2026-02-24T11:55:00Z</dcterms:created>
  <dcterms:modified xsi:type="dcterms:W3CDTF">2026-02-24T11:55:00Z</dcterms:modified>
</cp:coreProperties>
</file>