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F1" w:rsidRDefault="008028F1"/>
    <w:p w:rsidR="008028F1" w:rsidRPr="008028F1" w:rsidRDefault="008028F1" w:rsidP="008028F1">
      <w:pPr>
        <w:ind w:left="11328" w:firstLine="708"/>
        <w:rPr>
          <w:rFonts w:ascii="Arial Narrow" w:hAnsi="Arial Narrow"/>
          <w:b/>
          <w:bCs/>
          <w:sz w:val="22"/>
          <w:szCs w:val="22"/>
        </w:rPr>
      </w:pPr>
      <w:r w:rsidRPr="008028F1">
        <w:rPr>
          <w:rFonts w:ascii="Arial Narrow" w:hAnsi="Arial Narrow"/>
          <w:b/>
          <w:bCs/>
          <w:sz w:val="22"/>
          <w:szCs w:val="22"/>
        </w:rPr>
        <w:t>Załącznik nr 6G</w:t>
      </w:r>
    </w:p>
    <w:tbl>
      <w:tblPr>
        <w:tblpPr w:leftFromText="141" w:rightFromText="141" w:vertAnchor="text" w:horzAnchor="margin" w:tblpY="118"/>
        <w:tblW w:w="4924" w:type="pct"/>
        <w:tblLook w:val="0000"/>
      </w:tblPr>
      <w:tblGrid>
        <w:gridCol w:w="708"/>
        <w:gridCol w:w="2950"/>
        <w:gridCol w:w="1261"/>
        <w:gridCol w:w="1555"/>
        <w:gridCol w:w="2247"/>
        <w:gridCol w:w="1393"/>
        <w:gridCol w:w="1905"/>
        <w:gridCol w:w="1763"/>
        <w:gridCol w:w="222"/>
      </w:tblGrid>
      <w:tr w:rsidR="008028F1" w:rsidRPr="008F6120" w:rsidTr="00EB28A8">
        <w:tc>
          <w:tcPr>
            <w:tcW w:w="2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2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028F1" w:rsidRPr="008F6120" w:rsidTr="00EB28A8">
        <w:trPr>
          <w:trHeight w:val="600"/>
        </w:trPr>
        <w:tc>
          <w:tcPr>
            <w:tcW w:w="2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 parametrów krytycznych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r w:rsidRPr="008F6120">
              <w:rPr>
                <w:rFonts w:ascii="Arial Narrow" w:hAnsi="Arial Narrow" w:cs="Arial"/>
                <w:b/>
                <w:sz w:val="20"/>
                <w:szCs w:val="20"/>
              </w:rPr>
              <w:t xml:space="preserve"> komplety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2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028F1" w:rsidRPr="008F6120" w:rsidRDefault="008028F1" w:rsidP="00EB28A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8028F1" w:rsidRDefault="008028F1"/>
    <w:p w:rsidR="008028F1" w:rsidRDefault="008028F1" w:rsidP="008028F1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page" w:horzAnchor="margin" w:tblpY="6121"/>
        <w:tblW w:w="4885" w:type="pct"/>
        <w:tblCellMar>
          <w:left w:w="10" w:type="dxa"/>
          <w:right w:w="10" w:type="dxa"/>
        </w:tblCellMar>
        <w:tblLook w:val="0000"/>
      </w:tblPr>
      <w:tblGrid>
        <w:gridCol w:w="417"/>
        <w:gridCol w:w="9510"/>
        <w:gridCol w:w="1559"/>
        <w:gridCol w:w="2333"/>
      </w:tblGrid>
      <w:tr w:rsidR="008028F1" w:rsidRPr="00F14947" w:rsidTr="008028F1">
        <w:trPr>
          <w:cantSplit/>
          <w:trHeight w:val="146"/>
        </w:trPr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F14947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028F1" w:rsidRPr="00F14947" w:rsidTr="008028F1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14947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028F1" w:rsidRPr="00F14947" w:rsidTr="008028F1">
        <w:trPr>
          <w:cantSplit/>
          <w:trHeight w:val="90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Automatyczny analizator parametrów krytycznych, pracujący w systemie ciągłym,  zestawy odczynnikowe w postaci jednej lub kilku (ale nie więcej niż trzech) kaset zawierającej kontrolę jakości, odczynniki, sensory, elektrody oraz płyny kalibracyjne i pojemniki na ścieki. Przy kalibracji fabrycznej płyny kalibracyjne nie są wymagane w kasecie.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8028F1">
        <w:trPr>
          <w:cantSplit/>
          <w:trHeight w:val="41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Zestawy odczynnikowe przechowywane w temperaturze pokojowej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8028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8028F1" w:rsidRDefault="008028F1" w:rsidP="008028F1">
      <w:pPr>
        <w:jc w:val="center"/>
        <w:rPr>
          <w:rFonts w:ascii="Arial" w:hAnsi="Arial" w:cs="Arial"/>
          <w:b/>
          <w:bCs/>
        </w:rPr>
      </w:pPr>
    </w:p>
    <w:p w:rsidR="008028F1" w:rsidRDefault="008028F1" w:rsidP="008028F1">
      <w:pPr>
        <w:jc w:val="center"/>
        <w:rPr>
          <w:rFonts w:ascii="Arial" w:hAnsi="Arial" w:cs="Arial"/>
          <w:b/>
          <w:bCs/>
        </w:rPr>
      </w:pPr>
      <w:r w:rsidRPr="008028F1">
        <w:rPr>
          <w:rFonts w:ascii="Arial" w:hAnsi="Arial" w:cs="Arial"/>
          <w:b/>
          <w:bCs/>
        </w:rPr>
        <w:t>SPECYFIKACJA TECHNICZNA</w:t>
      </w:r>
    </w:p>
    <w:p w:rsidR="008028F1" w:rsidRPr="008028F1" w:rsidRDefault="008028F1" w:rsidP="008028F1">
      <w:pPr>
        <w:jc w:val="center"/>
        <w:rPr>
          <w:rFonts w:ascii="Arial" w:hAnsi="Arial" w:cs="Arial"/>
          <w:b/>
          <w:bCs/>
        </w:rPr>
      </w:pPr>
    </w:p>
    <w:tbl>
      <w:tblPr>
        <w:tblpPr w:leftFromText="141" w:rightFromText="141" w:vertAnchor="page" w:horzAnchor="margin" w:tblpY="3288"/>
        <w:tblW w:w="4885" w:type="pct"/>
        <w:tblCellMar>
          <w:left w:w="10" w:type="dxa"/>
          <w:right w:w="10" w:type="dxa"/>
        </w:tblCellMar>
        <w:tblLook w:val="0000"/>
      </w:tblPr>
      <w:tblGrid>
        <w:gridCol w:w="417"/>
        <w:gridCol w:w="9510"/>
        <w:gridCol w:w="1559"/>
        <w:gridCol w:w="2333"/>
      </w:tblGrid>
      <w:tr w:rsidR="008028F1" w:rsidRPr="00F14947" w:rsidTr="008028F1">
        <w:trPr>
          <w:cantSplit/>
          <w:trHeight w:val="3122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Pomiar z jednej próbki minimum:</w:t>
            </w:r>
          </w:p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gazometria (</w:t>
            </w:r>
            <w:proofErr w:type="spellStart"/>
            <w:r w:rsidR="00D448C8">
              <w:fldChar w:fldCharType="begin"/>
            </w:r>
            <w:r>
              <w:instrText>HYPERLINK "http://pl.wikipedia.org/wiki/Skala_pH" \o "Skala pH"</w:instrText>
            </w:r>
            <w:r w:rsidR="00D448C8">
              <w:fldChar w:fldCharType="separate"/>
            </w:r>
            <w:r w:rsidRPr="00F14947">
              <w:rPr>
                <w:rStyle w:val="Hipercze"/>
                <w:rFonts w:ascii="Arial Narrow" w:hAnsi="Arial Narrow" w:cs="Arial"/>
                <w:sz w:val="20"/>
                <w:szCs w:val="20"/>
                <w:shd w:val="clear" w:color="auto" w:fill="FFFFFF"/>
              </w:rPr>
              <w:t>pH</w:t>
            </w:r>
            <w:proofErr w:type="spellEnd"/>
            <w:r w:rsidR="00D448C8">
              <w:fldChar w:fldCharType="end"/>
            </w:r>
            <w:r w:rsidRPr="00F14947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 xml:space="preserve">2, 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pCO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  <w:vertAlign w:val="subscript"/>
              </w:rPr>
              <w:t>2</w:t>
            </w:r>
            <w:r w:rsidRPr="00F14947">
              <w:rPr>
                <w:rFonts w:ascii="Arial Narrow" w:hAnsi="Arial Narrow"/>
                <w:sz w:val="20"/>
                <w:szCs w:val="20"/>
              </w:rPr>
              <w:t>)</w:t>
            </w:r>
            <w:r>
              <w:rPr>
                <w:rFonts w:ascii="Arial Narrow" w:hAnsi="Arial Narrow"/>
                <w:sz w:val="20"/>
                <w:szCs w:val="20"/>
              </w:rPr>
              <w:t xml:space="preserve"> – moduł RKZ</w:t>
            </w:r>
            <w:r w:rsidRPr="00F14947"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elektrolity (</w:t>
            </w:r>
            <w:r>
              <w:rPr>
                <w:rFonts w:ascii="Arial Narrow" w:hAnsi="Arial Narrow"/>
                <w:sz w:val="20"/>
                <w:szCs w:val="20"/>
              </w:rPr>
              <w:t xml:space="preserve">Cl, </w:t>
            </w:r>
            <w:r w:rsidRPr="00F14947">
              <w:rPr>
                <w:rFonts w:ascii="Arial Narrow" w:hAnsi="Arial Narrow"/>
                <w:sz w:val="20"/>
                <w:szCs w:val="20"/>
              </w:rPr>
              <w:t>K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Na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</w:t>
            </w:r>
            <w:r w:rsidRPr="00F14947">
              <w:rPr>
                <w:rFonts w:ascii="Arial Narrow" w:hAnsi="Arial Narrow"/>
                <w:sz w:val="20"/>
                <w:szCs w:val="20"/>
              </w:rPr>
              <w:t>, Ca</w:t>
            </w:r>
            <w:r w:rsidRPr="00F14947">
              <w:rPr>
                <w:rFonts w:ascii="Arial Narrow" w:hAnsi="Arial Narrow"/>
                <w:sz w:val="20"/>
                <w:szCs w:val="20"/>
                <w:vertAlign w:val="superscript"/>
              </w:rPr>
              <w:t>++</w:t>
            </w:r>
            <w:r>
              <w:rPr>
                <w:rFonts w:ascii="Arial Narrow" w:hAnsi="Arial Narrow"/>
                <w:sz w:val="20"/>
                <w:szCs w:val="20"/>
                <w:vertAlign w:val="superscript"/>
              </w:rPr>
              <w:t xml:space="preserve">, </w:t>
            </w:r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mleczany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Lac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glukoza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Glu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So2,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tHb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MetHb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HHb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HbF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COHb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8028F1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F14947">
              <w:rPr>
                <w:rFonts w:ascii="Arial Narrow" w:hAnsi="Arial Narrow" w:cs="Arial"/>
                <w:bCs/>
                <w:i/>
                <w:sz w:val="20"/>
                <w:szCs w:val="20"/>
              </w:rPr>
              <w:t>O2Hb,</w:t>
            </w:r>
          </w:p>
          <w:p w:rsidR="008028F1" w:rsidRPr="000903AF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- hematokryt (</w:t>
            </w:r>
            <w:proofErr w:type="spellStart"/>
            <w:r w:rsidRPr="00F14947">
              <w:rPr>
                <w:rFonts w:ascii="Arial Narrow" w:hAnsi="Arial Narrow"/>
                <w:sz w:val="20"/>
                <w:szCs w:val="20"/>
              </w:rPr>
              <w:t>Hct</w:t>
            </w:r>
            <w:proofErr w:type="spellEnd"/>
            <w:r w:rsidRPr="00F14947">
              <w:rPr>
                <w:rFonts w:ascii="Arial Narrow" w:hAnsi="Arial Narrow"/>
                <w:sz w:val="20"/>
                <w:szCs w:val="20"/>
              </w:rPr>
              <w:t>) (mierzony lub wyliczany)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8028F1">
        <w:trPr>
          <w:cantSplit/>
          <w:trHeight w:val="401"/>
        </w:trPr>
        <w:tc>
          <w:tcPr>
            <w:tcW w:w="1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Parametry wyliczane:</w:t>
            </w:r>
          </w:p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HCO3,</w:t>
            </w:r>
          </w:p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luka anionowa,</w:t>
            </w:r>
          </w:p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 xml:space="preserve">- </w:t>
            </w:r>
            <w:proofErr w:type="spellStart"/>
            <w:r w:rsidRPr="00617614">
              <w:rPr>
                <w:rFonts w:ascii="Arial Narrow" w:hAnsi="Arial Narrow" w:cs="TrebuchetMS"/>
                <w:sz w:val="20"/>
                <w:szCs w:val="20"/>
              </w:rPr>
              <w:t>osmolalność</w:t>
            </w:r>
            <w:proofErr w:type="spellEnd"/>
            <w:r w:rsidRPr="00617614">
              <w:rPr>
                <w:rFonts w:ascii="Arial Narrow" w:hAnsi="Arial Narrow" w:cs="TrebuchetMS"/>
                <w:sz w:val="20"/>
                <w:szCs w:val="20"/>
              </w:rPr>
              <w:t xml:space="preserve"> osocza,</w:t>
            </w:r>
          </w:p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ABE,</w:t>
            </w:r>
          </w:p>
          <w:p w:rsidR="008028F1" w:rsidRPr="00617614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SBE,</w:t>
            </w:r>
          </w:p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617614">
              <w:rPr>
                <w:rFonts w:ascii="Arial Narrow" w:hAnsi="Arial Narrow" w:cs="TrebuchetMS"/>
                <w:sz w:val="20"/>
                <w:szCs w:val="20"/>
              </w:rPr>
              <w:t>-  Ca++ (7.4).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0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Zakres liniowości oznaczania w</w:t>
            </w:r>
            <w:r>
              <w:rPr>
                <w:rFonts w:ascii="Arial Narrow" w:hAnsi="Arial Narrow" w:cs="TrebuchetMS"/>
                <w:sz w:val="20"/>
                <w:szCs w:val="20"/>
              </w:rPr>
              <w:t>apnia zjonizowanego minimum 0,10</w:t>
            </w: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-2,5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mmol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>/l.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4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Możliwość wykonania badania krwi żylnej, tętniczej lub włośniczkowej bezpośrednio ze strzykawki lub kapilary.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4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Podświetlany port podawania próbki zamykany automatycznie.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Objętość wymaganej próbki do badania maksimum 160</w:t>
            </w:r>
            <w:r w:rsidRPr="00F14947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µl.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3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Bezpieczny system pobierania próbki z eliminacją skrzepów.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0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Czas pomiaru od momentu wprowadzenia próbki maksymalnie 120 sekund.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91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Stała gotowość do pracy</w:t>
            </w:r>
            <w:r>
              <w:rPr>
                <w:rFonts w:ascii="Arial Narrow" w:hAnsi="Arial Narrow" w:cs="TrebuchetMS"/>
                <w:sz w:val="20"/>
                <w:szCs w:val="20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9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Archiwizacja wyników badań (z okresu 12 miesięcy, przy założeniu do 1000 badań/miesiąc),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48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napToGrid w:val="0"/>
                <w:sz w:val="20"/>
                <w:szCs w:val="20"/>
              </w:rPr>
            </w:pPr>
            <w:r w:rsidRPr="00F14947">
              <w:rPr>
                <w:rFonts w:ascii="Arial Narrow" w:hAnsi="Arial Narrow"/>
                <w:snapToGrid w:val="0"/>
                <w:sz w:val="20"/>
                <w:szCs w:val="20"/>
              </w:rPr>
              <w:t>Automatyczna kalibracja, bez konieczności ingerencji Użytkownika lub kalibracja fabryczna. Wszystkie parametry kalibrowane w pełni automatycznie bez ingerencji Użytkownika.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83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Automatyczna kontrola jakości zapewniająca codzienną  kontrolę aparatu, minimum 1 raz dziennie, na jednym z trzech poziomów naprzemiennie, bez konieczności uzupełniania materiału kontrolnego lub ingerencji Użytkownika przez co najmniej 14 dni lub okres ważności kasety (jeśli kontrola jest w tej samej kasecie co odczynniki).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pStyle w:val="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Arial Narrow" w:hAnsi="Arial Narrow" w:cs="Tahoma"/>
                <w:color w:val="auto"/>
                <w:kern w:val="3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Prezentacja kontroli jakości w postaci wykresów </w:t>
            </w:r>
            <w:proofErr w:type="spellStart"/>
            <w:r w:rsidRPr="00F14947">
              <w:rPr>
                <w:rFonts w:ascii="Arial Narrow" w:hAnsi="Arial Narrow" w:cs="TrebuchetMS"/>
                <w:sz w:val="20"/>
                <w:szCs w:val="20"/>
              </w:rPr>
              <w:t>levey-jenningsa</w:t>
            </w:r>
            <w:proofErr w:type="spellEnd"/>
            <w:r w:rsidRPr="00F14947">
              <w:rPr>
                <w:rFonts w:ascii="Arial Narrow" w:hAnsi="Arial Narrow" w:cs="TrebuchetMS"/>
                <w:sz w:val="20"/>
                <w:szCs w:val="20"/>
              </w:rPr>
              <w:t xml:space="preserve"> lub delta chart - możliwość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82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F14947">
              <w:rPr>
                <w:rFonts w:ascii="Arial Narrow" w:hAnsi="Arial Narrow" w:cs="TrebuchetMS"/>
                <w:sz w:val="20"/>
                <w:szCs w:val="20"/>
              </w:rPr>
              <w:t>Archiwizacja kontroli jakości (z okresu 12 miesięcy, przy założeniu  codziennej kontroli na jednym z trzech poziomów), z możliwością wglądu, wydruku oraz zgrania na nośnik typu Pendrive i/lub Zewnętrzny dysk twardy poprzez USB 2.0 i/lub płytę CD.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7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Monitorowanie stanu odczynników lub ilości możliwych badań do wykonania.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06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Graficzny wykres trendów pacjenta lub wyniki pacjenta zestawione w tabeli.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00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Menu aparatu w języku polskim.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4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Komunikacja z aparatem za pomocą ekranu dotykowego.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2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Wbudowana drukarka.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34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righ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Podtrzymywanie pracy analizatora przy awarii zasilania minimum przez 30 minut wraz z zabezpieczeniem przeciwprzepięciowym (UPS) 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028F1" w:rsidRPr="00F1494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Urządzenia fabrycznie nowe,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ro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 produkcji nie starszy niż 2025</w:t>
            </w:r>
            <w:r w:rsidRPr="00F149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8028F1" w:rsidRDefault="008028F1" w:rsidP="00EB28A8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68177C">
              <w:rPr>
                <w:rFonts w:ascii="Arial Narrow" w:hAnsi="Arial Narrow" w:cs="Arial"/>
                <w:sz w:val="20"/>
                <w:szCs w:val="20"/>
              </w:rPr>
              <w:t>Instrukcja obsługi przedmiotu ofertywjęzykupolskim (1szt. papierowa dostarczona wraz dostawą i 1szt. w wersji elektronicznej dołączona do oferty).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333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Deklaracja(e) zgodności CE.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45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Oświadczamy,że przedmiot ofertyjestkompletnyibędziegotowydopracyzgodniezinstrukcjąobsługibezżadnychdodatkowychzakupów.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599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8F1">
              <w:rPr>
                <w:rFonts w:ascii="Arial Narrow" w:hAnsi="Arial Narrow" w:cs="Arial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val="1117"/>
        </w:trPr>
        <w:tc>
          <w:tcPr>
            <w:tcW w:w="1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Default="008028F1" w:rsidP="00EB28A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8028F1" w:rsidRPr="00F14947" w:rsidRDefault="008028F1" w:rsidP="00EB28A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8F6120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8028F1" w:rsidRPr="00F14947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-dokonaniainstalacjiwewskazanymmiejscuprzez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Z</w:t>
            </w:r>
            <w:r w:rsidRPr="00F14947">
              <w:rPr>
                <w:rFonts w:ascii="Arial Narrow" w:hAnsi="Arial Narrow" w:cs="Arial"/>
                <w:sz w:val="20"/>
                <w:szCs w:val="20"/>
              </w:rPr>
              <w:t>amawiającego,</w:t>
            </w:r>
          </w:p>
          <w:p w:rsidR="008028F1" w:rsidRPr="00F14947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sz w:val="20"/>
                <w:szCs w:val="20"/>
              </w:rPr>
              <w:t>-dokonaniaszkoleniawzakresieobsługiprzedmiotuzamówienia.</w:t>
            </w:r>
          </w:p>
        </w:tc>
        <w:tc>
          <w:tcPr>
            <w:tcW w:w="56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494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028F1" w:rsidRPr="00F14947" w:rsidTr="00EB28A8">
        <w:trPr>
          <w:cantSplit/>
          <w:trHeight w:hRule="exact" w:val="336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F14947" w:rsidRDefault="008028F1" w:rsidP="00EB28A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947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</w:tbl>
    <w:tbl>
      <w:tblPr>
        <w:tblW w:w="4913" w:type="pct"/>
        <w:tblInd w:w="-5" w:type="dxa"/>
        <w:tblCellMar>
          <w:left w:w="10" w:type="dxa"/>
          <w:right w:w="10" w:type="dxa"/>
        </w:tblCellMar>
        <w:tblLook w:val="0000"/>
      </w:tblPr>
      <w:tblGrid>
        <w:gridCol w:w="434"/>
        <w:gridCol w:w="9453"/>
        <w:gridCol w:w="1576"/>
        <w:gridCol w:w="2435"/>
      </w:tblGrid>
      <w:tr w:rsidR="008028F1" w:rsidRPr="00B8703C" w:rsidTr="008028F1">
        <w:trPr>
          <w:cantSplit/>
          <w:trHeight w:hRule="exact" w:val="50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E83103" w:rsidRDefault="008028F1" w:rsidP="00EB28A8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50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333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422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42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845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68177C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64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648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028F1" w:rsidRPr="00B8703C" w:rsidRDefault="008028F1" w:rsidP="00EB28A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028F1" w:rsidRPr="00B8703C" w:rsidTr="008028F1">
        <w:trPr>
          <w:cantSplit/>
          <w:trHeight w:hRule="exact" w:val="464"/>
        </w:trPr>
        <w:tc>
          <w:tcPr>
            <w:tcW w:w="1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783EF1" w:rsidRDefault="008028F1" w:rsidP="00EB28A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028F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min. 5 lat od momentu dostarczenia, umożliwiająca dokonywanie napraw po zakończeniu okresu gwarancji w okresie trwałości projektu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</w:t>
            </w:r>
            <w:r w:rsidRPr="00B8703C">
              <w:rPr>
                <w:rFonts w:ascii="Arial Narrow" w:hAnsi="Arial Narrow"/>
                <w:sz w:val="20"/>
                <w:szCs w:val="20"/>
              </w:rPr>
              <w:t>K</w:t>
            </w:r>
          </w:p>
        </w:tc>
        <w:tc>
          <w:tcPr>
            <w:tcW w:w="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28F1" w:rsidRPr="00B8703C" w:rsidRDefault="008028F1" w:rsidP="00EB28A8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8028F1" w:rsidRDefault="008028F1"/>
    <w:p w:rsidR="008028F1" w:rsidRDefault="008028F1"/>
    <w:p w:rsidR="008028F1" w:rsidRPr="008028F1" w:rsidRDefault="008028F1" w:rsidP="008028F1">
      <w:pPr>
        <w:ind w:left="7788" w:firstLine="708"/>
        <w:rPr>
          <w:rFonts w:ascii="Arial" w:hAnsi="Arial" w:cs="Arial"/>
        </w:rPr>
      </w:pPr>
      <w:r w:rsidRPr="008028F1">
        <w:rPr>
          <w:rFonts w:ascii="Arial" w:hAnsi="Arial" w:cs="Arial"/>
        </w:rPr>
        <w:t>KWALIFIKOWANY PODPIS WYKONAWCY</w:t>
      </w:r>
    </w:p>
    <w:sectPr w:rsidR="008028F1" w:rsidRPr="008028F1" w:rsidSect="008028F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0CB" w:rsidRDefault="004270CB" w:rsidP="008028F1">
      <w:r>
        <w:separator/>
      </w:r>
    </w:p>
  </w:endnote>
  <w:endnote w:type="continuationSeparator" w:id="1">
    <w:p w:rsidR="004270CB" w:rsidRDefault="004270CB" w:rsidP="00802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619445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6"/>
        <w:szCs w:val="16"/>
      </w:rPr>
    </w:sdtEndPr>
    <w:sdtContent>
      <w:p w:rsidR="008028F1" w:rsidRPr="008028F1" w:rsidRDefault="00D448C8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8028F1">
          <w:rPr>
            <w:rFonts w:ascii="Arial Narrow" w:hAnsi="Arial Narrow"/>
            <w:sz w:val="16"/>
            <w:szCs w:val="16"/>
          </w:rPr>
          <w:fldChar w:fldCharType="begin"/>
        </w:r>
        <w:r w:rsidR="008028F1" w:rsidRPr="008028F1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8028F1">
          <w:rPr>
            <w:rFonts w:ascii="Arial Narrow" w:hAnsi="Arial Narrow"/>
            <w:sz w:val="16"/>
            <w:szCs w:val="16"/>
          </w:rPr>
          <w:fldChar w:fldCharType="separate"/>
        </w:r>
        <w:r w:rsidR="0068177C">
          <w:rPr>
            <w:rFonts w:ascii="Arial Narrow" w:hAnsi="Arial Narrow"/>
            <w:noProof/>
            <w:sz w:val="16"/>
            <w:szCs w:val="16"/>
          </w:rPr>
          <w:t>4</w:t>
        </w:r>
        <w:r w:rsidRPr="008028F1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:rsidR="008028F1" w:rsidRDefault="008028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0CB" w:rsidRDefault="004270CB" w:rsidP="008028F1">
      <w:r>
        <w:separator/>
      </w:r>
    </w:p>
  </w:footnote>
  <w:footnote w:type="continuationSeparator" w:id="1">
    <w:p w:rsidR="004270CB" w:rsidRDefault="004270CB" w:rsidP="00802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F1" w:rsidRDefault="008028F1">
    <w:pPr>
      <w:pStyle w:val="Nagwek"/>
    </w:pPr>
    <w:r>
      <w:rPr>
        <w:noProof/>
        <w:lang w:eastAsia="pl-PL"/>
      </w:rPr>
      <w:drawing>
        <wp:inline distT="0" distB="0" distL="0" distR="0">
          <wp:extent cx="8892540" cy="925195"/>
          <wp:effectExtent l="0" t="0" r="3810" b="8255"/>
          <wp:docPr id="2021865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015" w:hanging="360"/>
      </w:pPr>
    </w:lvl>
    <w:lvl w:ilvl="2">
      <w:start w:val="1"/>
      <w:numFmt w:val="lowerRoman"/>
      <w:lvlText w:val="%3."/>
      <w:lvlJc w:val="right"/>
      <w:pPr>
        <w:ind w:left="1736" w:hanging="180"/>
      </w:pPr>
    </w:lvl>
    <w:lvl w:ilvl="3">
      <w:start w:val="1"/>
      <w:numFmt w:val="decimal"/>
      <w:lvlText w:val="%4."/>
      <w:lvlJc w:val="left"/>
      <w:pPr>
        <w:ind w:left="2455" w:hanging="360"/>
      </w:pPr>
    </w:lvl>
    <w:lvl w:ilvl="4">
      <w:start w:val="1"/>
      <w:numFmt w:val="lowerLetter"/>
      <w:lvlText w:val="%5."/>
      <w:lvlJc w:val="left"/>
      <w:pPr>
        <w:ind w:left="3175" w:hanging="360"/>
      </w:pPr>
    </w:lvl>
    <w:lvl w:ilvl="5">
      <w:start w:val="1"/>
      <w:numFmt w:val="lowerRoman"/>
      <w:lvlText w:val="%6."/>
      <w:lvlJc w:val="right"/>
      <w:pPr>
        <w:ind w:left="3895" w:hanging="180"/>
      </w:pPr>
    </w:lvl>
    <w:lvl w:ilvl="6">
      <w:start w:val="1"/>
      <w:numFmt w:val="decimal"/>
      <w:lvlText w:val="%7."/>
      <w:lvlJc w:val="left"/>
      <w:pPr>
        <w:ind w:left="4615" w:hanging="360"/>
      </w:pPr>
    </w:lvl>
    <w:lvl w:ilvl="7">
      <w:start w:val="1"/>
      <w:numFmt w:val="lowerLetter"/>
      <w:lvlText w:val="%8."/>
      <w:lvlJc w:val="left"/>
      <w:pPr>
        <w:ind w:left="5335" w:hanging="360"/>
      </w:pPr>
    </w:lvl>
    <w:lvl w:ilvl="8">
      <w:start w:val="1"/>
      <w:numFmt w:val="lowerRoman"/>
      <w:lvlText w:val="%9."/>
      <w:lvlJc w:val="right"/>
      <w:pPr>
        <w:ind w:left="605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8F1"/>
    <w:rsid w:val="001A7D8C"/>
    <w:rsid w:val="002C23D2"/>
    <w:rsid w:val="00364532"/>
    <w:rsid w:val="004270CB"/>
    <w:rsid w:val="00607BA3"/>
    <w:rsid w:val="0068177C"/>
    <w:rsid w:val="007A79B1"/>
    <w:rsid w:val="008028F1"/>
    <w:rsid w:val="00D448C8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8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2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28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2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28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2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2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2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2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28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28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28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28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28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28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28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28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28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2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2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2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2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28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28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28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28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28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28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028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28F1"/>
  </w:style>
  <w:style w:type="paragraph" w:styleId="Stopka">
    <w:name w:val="footer"/>
    <w:basedOn w:val="Normalny"/>
    <w:link w:val="StopkaZnak"/>
    <w:uiPriority w:val="99"/>
    <w:unhideWhenUsed/>
    <w:rsid w:val="008028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28F1"/>
  </w:style>
  <w:style w:type="character" w:styleId="Hipercze">
    <w:name w:val="Hyperlink"/>
    <w:basedOn w:val="Domylnaczcionkaakapitu"/>
    <w:uiPriority w:val="99"/>
    <w:rsid w:val="008028F1"/>
    <w:rPr>
      <w:rFonts w:cs="Times New Roman"/>
      <w:color w:val="0000FF"/>
      <w:u w:val="single"/>
    </w:rPr>
  </w:style>
  <w:style w:type="paragraph" w:customStyle="1" w:styleId="Tre">
    <w:name w:val="Treść"/>
    <w:uiPriority w:val="99"/>
    <w:rsid w:val="008028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1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77C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765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user</cp:lastModifiedBy>
  <cp:revision>2</cp:revision>
  <dcterms:created xsi:type="dcterms:W3CDTF">2026-02-24T11:20:00Z</dcterms:created>
  <dcterms:modified xsi:type="dcterms:W3CDTF">2026-02-24T11:20:00Z</dcterms:modified>
</cp:coreProperties>
</file>