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431D22" w:rsidRDefault="001E5C5D" w:rsidP="00431D22">
      <w:pPr>
        <w:jc w:val="right"/>
        <w:rPr>
          <w:rFonts w:ascii="Arial Narrow" w:hAnsi="Arial Narrow" w:cs="Arial"/>
          <w:sz w:val="20"/>
          <w:szCs w:val="20"/>
        </w:rPr>
      </w:pPr>
      <w:r>
        <w:rPr>
          <w:noProof/>
          <w:lang w:eastAsia="pl-PL"/>
        </w:rPr>
        <w:drawing>
          <wp:inline distT="0" distB="0" distL="0" distR="0">
            <wp:extent cx="9777730" cy="1016635"/>
            <wp:effectExtent l="0" t="0" r="0" b="0"/>
            <wp:docPr id="1901256579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1016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text" w:horzAnchor="margin" w:tblpXSpec="center" w:tblpY="244"/>
        <w:tblW w:w="4822" w:type="pct"/>
        <w:jc w:val="center"/>
        <w:tblLook w:val="0000"/>
      </w:tblPr>
      <w:tblGrid>
        <w:gridCol w:w="462"/>
        <w:gridCol w:w="3241"/>
        <w:gridCol w:w="1388"/>
        <w:gridCol w:w="1711"/>
        <w:gridCol w:w="2469"/>
        <w:gridCol w:w="1532"/>
        <w:gridCol w:w="2095"/>
        <w:gridCol w:w="1938"/>
        <w:gridCol w:w="222"/>
      </w:tblGrid>
      <w:tr w:rsidR="00C14F51" w:rsidRPr="00C14F51" w:rsidTr="009130B6">
        <w:trPr>
          <w:jc w:val="center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7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7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82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9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4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C14F51" w:rsidRPr="00C14F51" w:rsidTr="009130B6">
        <w:trPr>
          <w:trHeight w:val="600"/>
          <w:jc w:val="center"/>
        </w:trPr>
        <w:tc>
          <w:tcPr>
            <w:tcW w:w="1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DC69ED" w:rsidRDefault="00DF0E1E" w:rsidP="006C4707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Zestawy pomp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F5627C" w:rsidP="00F01162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6</w:t>
            </w:r>
            <w:r w:rsidR="00C14F51" w:rsidRPr="00C14F51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  <w:r w:rsidR="00F01162">
              <w:rPr>
                <w:rFonts w:ascii="Arial Narrow" w:hAnsi="Arial Narrow" w:cs="Arial"/>
                <w:b/>
                <w:sz w:val="20"/>
                <w:szCs w:val="20"/>
              </w:rPr>
              <w:t>ów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74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1B6A27" w:rsidRDefault="001E5C5D" w:rsidP="001E5C5D">
      <w:pPr>
        <w:spacing w:after="24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SPECYFIKACJA TECHNICZNA</w:t>
      </w: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443"/>
        <w:gridCol w:w="9638"/>
        <w:gridCol w:w="2033"/>
        <w:gridCol w:w="2750"/>
      </w:tblGrid>
      <w:tr w:rsidR="00E50CD1" w:rsidRPr="00B2615A" w:rsidTr="00DF0E1E">
        <w:trPr>
          <w:cantSplit/>
          <w:trHeight w:val="148"/>
          <w:jc w:val="center"/>
        </w:trPr>
        <w:tc>
          <w:tcPr>
            <w:tcW w:w="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B2615A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zakresy</w:t>
            </w: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/ 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B2615A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DF0E1E" w:rsidRPr="00B2615A" w:rsidTr="00DF0E1E">
        <w:trPr>
          <w:cantSplit/>
          <w:trHeight w:val="37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0E1E" w:rsidRPr="00B2615A" w:rsidRDefault="00DF0E1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851" w:type="pct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0E1E" w:rsidRPr="00B2615A" w:rsidRDefault="00DF0E1E" w:rsidP="00DF0E1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F0E1E">
              <w:rPr>
                <w:rFonts w:ascii="Arial Narrow" w:hAnsi="Arial Narrow" w:cs="Arial"/>
                <w:b/>
                <w:sz w:val="20"/>
                <w:szCs w:val="20"/>
              </w:rPr>
              <w:t>Pompa infuzyjna strzykawkowa</w:t>
            </w:r>
            <w:r w:rsidR="00F5627C">
              <w:rPr>
                <w:rFonts w:ascii="Arial Narrow" w:hAnsi="Arial Narrow" w:cs="Arial"/>
                <w:b/>
                <w:sz w:val="20"/>
                <w:szCs w:val="20"/>
              </w:rPr>
              <w:t xml:space="preserve"> – 22</w:t>
            </w:r>
            <w:r w:rsidR="0089444B">
              <w:rPr>
                <w:rFonts w:ascii="Arial Narrow" w:hAnsi="Arial Narrow" w:cs="Arial"/>
                <w:b/>
                <w:sz w:val="20"/>
                <w:szCs w:val="20"/>
              </w:rPr>
              <w:t xml:space="preserve"> sztuk</w:t>
            </w:r>
            <w:r w:rsidR="00F5627C">
              <w:rPr>
                <w:rFonts w:ascii="Arial Narrow" w:hAnsi="Arial Narrow" w:cs="Arial"/>
                <w:b/>
                <w:sz w:val="20"/>
                <w:szCs w:val="20"/>
              </w:rPr>
              <w:t>i</w:t>
            </w:r>
          </w:p>
        </w:tc>
      </w:tr>
      <w:tr w:rsidR="00F01162" w:rsidRPr="00B2615A" w:rsidTr="00DF0E1E">
        <w:trPr>
          <w:cantSplit/>
          <w:trHeight w:val="800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C9567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Pompa strzykawkowa sterowana elektronicznie przeznaczona do stosowania u dorosłychdo tymczasowego lub ciągłego podawania roztworów pozajelitowych i dojelitowych za pośrednictwem standardowych medycznych dróg dostępu. Do tych dróg należą m.in.: droga dożylna, dotętnicza, podskórna, zewnątrzoponowa i dojelitowa.</w:t>
            </w:r>
          </w:p>
        </w:tc>
        <w:tc>
          <w:tcPr>
            <w:tcW w:w="68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26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pStyle w:val="Zawartotabeli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color w:val="auto"/>
                <w:sz w:val="20"/>
                <w:szCs w:val="20"/>
              </w:rPr>
              <w:t>Zasilanie 230V 50 Hz, bezpośrednio z sieci</w:t>
            </w:r>
            <w:r w:rsidR="0058291D">
              <w:rPr>
                <w:rFonts w:ascii="Arial Narrow" w:hAnsi="Arial Narrow" w:cs="Arial"/>
                <w:color w:val="auto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31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pStyle w:val="Zawartotabeli"/>
              <w:tabs>
                <w:tab w:val="left" w:pos="5609"/>
              </w:tabs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color w:val="auto"/>
                <w:sz w:val="20"/>
                <w:szCs w:val="20"/>
              </w:rPr>
              <w:t>Klasa ochronności II lub równoważna</w:t>
            </w:r>
            <w:r w:rsidR="0058291D">
              <w:rPr>
                <w:rFonts w:ascii="Arial Narrow" w:hAnsi="Arial Narrow" w:cs="Arial"/>
                <w:color w:val="auto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278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pStyle w:val="Zawartotabeli"/>
              <w:tabs>
                <w:tab w:val="left" w:pos="5609"/>
              </w:tabs>
              <w:rPr>
                <w:rFonts w:ascii="Arial Narrow" w:hAnsi="Arial Narrow" w:cs="Times New Roman"/>
                <w:color w:val="auto"/>
                <w:sz w:val="20"/>
                <w:szCs w:val="20"/>
                <w:highlight w:val="yellow"/>
              </w:rPr>
            </w:pPr>
            <w:r w:rsidRPr="00F01162">
              <w:rPr>
                <w:rFonts w:ascii="Arial Narrow" w:hAnsi="Arial Narrow" w:cs="Arial"/>
                <w:color w:val="auto"/>
                <w:sz w:val="20"/>
                <w:szCs w:val="20"/>
              </w:rPr>
              <w:t>Masa pompy gotowej do użycia poniżej 2 kg</w:t>
            </w:r>
            <w:r w:rsidR="0058291D">
              <w:rPr>
                <w:rFonts w:ascii="Arial Narrow" w:hAnsi="Arial Narrow" w:cs="Arial"/>
                <w:color w:val="auto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385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  <w:u w:val="double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Wymiary pompy (Szer. x Wys. x Gł.)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27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Przestrzeń zajmowana przez pompę: nie większa, niż 3 200 cm</w:t>
            </w:r>
            <w:r w:rsidRPr="00F01162">
              <w:rPr>
                <w:rFonts w:ascii="Arial Narrow" w:hAnsi="Arial Narrow" w:cs="Arial"/>
                <w:sz w:val="20"/>
                <w:szCs w:val="20"/>
                <w:vertAlign w:val="superscript"/>
              </w:rPr>
              <w:t>3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t xml:space="preserve"> przy schowanym napędzie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36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Dokładność podaży +/- 2%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26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Menu pompy w języku polskim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26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Instrukcja obsługi zaimplemetnowana w menu pompy, ułatwiająca obsługę urządzenia podczas zakładania strzykawki.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28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Stopień ochrony IP 44 lub równoważny, chroniący przed bryzgami wody z dowolnego kierunku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52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Kolorowy wyświetlacz 5", umożliwiający pełne dotykowe sterowanie i obsługę pompy; Wysoka rozdzielczość wyświetlanych informacji, min. 800x240 punktów.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29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Wbudowan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 xml:space="preserve">y uchwyt do przenoszenia pompy. 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t xml:space="preserve">Możliwość łączenia pomp w moduły i przenoszenia bez użycia stacji dokującej 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 xml:space="preserve">-  3 pompy na jednym uchwycie. 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t>Opcjonalnie odłączalny zatrzaskowo uchwyt do mocowania pompy do stojaków infuzyjnych, oraz szyn poziomych. Zakres regulacji min. 20-40mm.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841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Strzykawka automatycznie mocowana od przodu, chroniona przed drzwiczki pompy; Mechanizm blokujący tłok strzykawki, zabezpieczający  przed swobodnym  niekontrolowanym przepływem działający niezależnie od położenia głowicy napędowej w stosunku do tłoka strzykawki. Aktualny status strzykawki wyświetlany na ekranie pompy w formie graficznej.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371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Pompa skalibrowana do pracy ze strzykawkami o objętości 2/3,5, 10, 20, 30 i 50/60 ml różnych typów oraz różnych producentów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28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Times New Roman" w:hAnsi="Arial Narrow" w:cs="Times New Roman"/>
                <w:kern w:val="0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Zatrzaskowe mocowanie w stacji dokującej, bez konieczności przykręcania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26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Komunikacja pomiędzy pompą a stacja dokującą odbywa się za pośrednictwem IrDA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156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Pompa wyposażona w moduł łączności bezprzewodowej WLAN w standardach 802.11a, 802.11b, 802.11g, 802.11n; umożliwiający podłączenie urządzenia do szpitalnego systemu informatycznego w standardzie HL7-IHE; Wspierane prędkości transferu WLAN 802.11a (OFDM): 6/9/12/18/24/36/48/54 Mbit/s, 802.11b (DSSS, CCK): 1/2/5.5/11 Mbit/s, 802.11g (OFDM): 6/9/12/18/24/36/48/54 Mbit/s 802.11n (OFDM, HT20, MCS 0-15):Full guard interval: 6.5/13/19.5/26/39/52/58.5/65/78/104/117 Mbit/s, Short guard interval: 1.2/14.4/21.7/28.9/29.9/43.3/57.8/65/72.2/86.7/115.6/130/144.4 Mbit/s; Standardy bezpieczeństwa: Wireless Equivalent Privacy (WEP), Wi-Fi Protected Access (WPA), IEEE 802.11i (WPA2),FIPS 140-2 Level 1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55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Pompa przygotowana do podłączenia do szpitalnego systemu informatycznego w standardzie HL7-IHE; Pompa wyposażona w bufor do przechowania inf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ormacji w przypadku utraty łącz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t>ności. Całość komunikacji szyfrowana na zasadzie end-to-end.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29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Pompy wyposażone w funkcję automatycznego przejmowania infuzji przez kolejną pompę natychmiast po zakończeniu infuzji w poprzedniej: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br/>
              <w:t xml:space="preserve">- podjęcie infuzji przez  pompę przejmującą bez konieczności naciskania przycisku 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START ani jakiegokolwiek innego,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br/>
              <w:t>- w obu pompach konieczność użycia strzykawek o tej samej pojemności ale mo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gą być różnych producentów,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br/>
              <w:t>- pompy podczas pracy w trybie przejęcia są czytelnie opisane symbolami jednoznacznie wskazującymi która pompa prowadzi infuzję a która oczekuje na podjęcie pracy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br/>
              <w:t>- programowanie pracy w trybie przejęcie odbywa się z pozycji ekranu dotykowego pompy, wykluczając ryzyko pomyłki zaprogramowania niewłaściwej pompy.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345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Możliwość zdalnej aktualizacji oprogramowania pompy, oraz biblioteki leków bez konieczności przerywania pracy pompy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52789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280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Zakres prędkości infuzji min. 0,01 do 1800 ml/h ; Zmiana prędkości podaży bez przerywania infuzji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369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Wstępnie wybierana objętość w zakresie 0,01 - 9999 ml, w zakresie 0,01 ml — 99,99 ml programowana w krokach co 0,01 ml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27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Wstępnie wybierany czas w zakresie 00h01min - 99h59min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287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Automatyczna kalkulacja prędkości podaży po wprowadzeniu objętości i czasu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52789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27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Możliwość programowania parametrów infuzji w mg, mcg, ng, IE, mmol, lub mEq ,z uwzględnieniem lub nie masy ciała w odniesieniu do czasu ( np. mg/kg/min; mg/kg/h; mg/kg/24h)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35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 xml:space="preserve">Pompa wyposażona w system redukcji błędów dawki. 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35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System automatycznej redukcji bolusa po alarmie ciśnienia okluzji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35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Bolus: Prędkość bolusa możliwa do zaprog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ramowania w zakresie1-1800 ml/h.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35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Tryby bolusa: Bolus na żądanie; Bolus programowany z automa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tyczną ka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t xml:space="preserve">lkulacją prędkości po 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wprowadzeniu objętości i czasu.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30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Możliwość podaży bolusa w jednostkach mg, mcg, mmol, mEq oraz jednostkach wagowych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29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58291D" w:rsidP="00F01162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</w:t>
            </w:r>
            <w:r w:rsidR="00F01162" w:rsidRPr="00F01162">
              <w:rPr>
                <w:rFonts w:ascii="Arial Narrow" w:hAnsi="Arial Narrow" w:cs="Arial"/>
                <w:sz w:val="20"/>
                <w:szCs w:val="20"/>
              </w:rPr>
              <w:t>ryb stand-by w zakresie od 1 min do 24 godzin z programowaniem co 1 minutę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30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Regulacja intensywności podśw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t>etlenia na 9 poziomach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1079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58291D" w:rsidP="00F01162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Biblioteka leków z możli</w:t>
            </w:r>
            <w:r w:rsidR="00F01162" w:rsidRPr="00F01162">
              <w:rPr>
                <w:rFonts w:ascii="Arial Narrow" w:hAnsi="Arial Narrow" w:cs="Arial"/>
                <w:sz w:val="20"/>
                <w:szCs w:val="20"/>
              </w:rPr>
              <w:t>wością wpisu min. 10000 leków, z możliwością podzielenia na min. 30 k</w:t>
            </w:r>
            <w:r>
              <w:rPr>
                <w:rFonts w:ascii="Arial Narrow" w:hAnsi="Arial Narrow" w:cs="Arial"/>
                <w:sz w:val="20"/>
                <w:szCs w:val="20"/>
              </w:rPr>
              <w:t>ategorii i 15 profili pacjentów.</w:t>
            </w:r>
            <w:r w:rsidR="00F01162" w:rsidRPr="00F01162">
              <w:rPr>
                <w:rFonts w:ascii="Arial Narrow" w:hAnsi="Arial Narrow" w:cs="Arial"/>
                <w:sz w:val="20"/>
                <w:szCs w:val="20"/>
              </w:rPr>
              <w:t xml:space="preserve"> Każdy lek może być powiązany z limitami miękkimi, z limitami twardymi, oraz kolorowymi etykietami - min. 30 k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>ombinacji kolorystycznych.</w:t>
            </w:r>
            <w:r w:rsidR="00F01162" w:rsidRPr="00F01162">
              <w:rPr>
                <w:rFonts w:ascii="Arial Narrow" w:hAnsi="Arial Narrow" w:cs="Arial"/>
                <w:sz w:val="20"/>
                <w:szCs w:val="20"/>
              </w:rPr>
              <w:t xml:space="preserve"> Nazwa leku stale widoczna na wyśw</w:t>
            </w:r>
            <w:r>
              <w:rPr>
                <w:rFonts w:ascii="Arial Narrow" w:hAnsi="Arial Narrow" w:cs="Arial"/>
                <w:sz w:val="20"/>
                <w:szCs w:val="20"/>
              </w:rPr>
              <w:t>ietlaczu pompy, również po wystą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>pieniu dowolnego alarmu.</w:t>
            </w:r>
            <w:r w:rsidR="00F01162" w:rsidRPr="00F01162">
              <w:rPr>
                <w:rFonts w:ascii="Arial Narrow" w:hAnsi="Arial Narrow" w:cs="Arial"/>
                <w:sz w:val="20"/>
                <w:szCs w:val="20"/>
              </w:rPr>
              <w:t xml:space="preserve"> Możliwość wprowadzenia do pompy biblioteki leków bezpośrednio z komputera, lub zdalnie poprzez sieć szpitalną z centralnego serwera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851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 xml:space="preserve">Możliwość opcjonalnego rozszerzenia funkcjonalności pompy strzykawkowej o tryb TCI dla Propofolu, Remifentanylu i Sufentanylu, realizowanego przy użyciu algorytmu opartego na trójkompartmentowym modelu farmakokinetycznym. </w:t>
            </w:r>
            <w:r w:rsidRPr="00DF0E1E">
              <w:rPr>
                <w:rFonts w:ascii="Arial Narrow" w:hAnsi="Arial Narrow" w:cs="Arial"/>
                <w:sz w:val="20"/>
                <w:szCs w:val="20"/>
              </w:rPr>
              <w:t>Dostępne modele: March, Schnider, Eleveld, Minto, Gepts</w:t>
            </w:r>
            <w:r w:rsidR="0058291D" w:rsidRPr="00DF0E1E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Na ekranie pompy stale dostępna informacja o obecnym stężeniu w osoczu oraz obecnym stężeniu w miejscu oddziaływania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Wizualizacja graficzna stanu znieczulenia dwoma różnymi kolorami, innymi dla osocza i miejsca oddziaływania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600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Arial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 xml:space="preserve">Ciśnienie okluzji możliwe do ustawienia na min. 9 poziomach </w:t>
            </w:r>
            <w:r w:rsidR="00DF0E1E">
              <w:rPr>
                <w:rFonts w:ascii="Arial Narrow" w:hAnsi="Arial Narrow" w:cs="Arial"/>
                <w:sz w:val="20"/>
                <w:szCs w:val="20"/>
              </w:rPr>
              <w:t xml:space="preserve">w zakresie od 75 do 900 mmHg. 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Ws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t>kaźnik ciśnienia okluzji stale widoczny na wyświetlaczu pompy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835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Arial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Wbudow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 xml:space="preserve">any akumulator litowo – jonowy. 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t>Zasilanie z wbudowanego akumulatora ok. 10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 xml:space="preserve"> godz. przy przepływie 25 ml/h. 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t>Czas p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 xml:space="preserve">onownego ładowania ok. 5 godz. 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t>Na wyświetlaczu widoczna precyzyjna informacja o pozostałym czasie pracy aku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 xml:space="preserve">mulatora w godzinach i minutach. 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t xml:space="preserve"> Automatyczne łado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wanie akumulatora w pompie podłą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t>czonej do zasilania sieciowego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EE04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Arial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Pobór mocy w normalnych warunkach pracy ok. 4 W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EE04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EE0425">
            <w:pPr>
              <w:rPr>
                <w:rFonts w:ascii="Arial Narrow" w:hAnsi="Arial Narrow" w:cs="Arial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Rozbudowan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y system alarmów wizualnych i dź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>więkowych.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EE04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Arial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Historia pracy dost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ępna z menu pompy, z możliwością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t xml:space="preserve"> zapisania do 1000 zdarzeń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EE04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549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Arial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Możliwość wprowadzenia informacji o dacie następnego przeglądu technicznego i wyświetlania jej przy każdym uruchomieniu pompy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EE04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F0E1E" w:rsidRPr="00B2615A" w:rsidTr="00DF0E1E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0E1E" w:rsidRPr="00B2615A" w:rsidRDefault="00DF0E1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851" w:type="pct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0E1E" w:rsidRPr="00DF0E1E" w:rsidRDefault="00DF0E1E" w:rsidP="00DF0E1E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F0E1E">
              <w:rPr>
                <w:rFonts w:ascii="Arial Narrow" w:hAnsi="Arial Narrow" w:cs="Arial"/>
                <w:b/>
                <w:sz w:val="20"/>
                <w:szCs w:val="20"/>
              </w:rPr>
              <w:t>Pompa infuzyjna objętościowa</w:t>
            </w:r>
            <w:r w:rsidR="00F5627C">
              <w:rPr>
                <w:rFonts w:ascii="Arial Narrow" w:hAnsi="Arial Narrow" w:cs="Arial"/>
                <w:b/>
                <w:sz w:val="20"/>
                <w:szCs w:val="20"/>
              </w:rPr>
              <w:t xml:space="preserve"> – 2 </w:t>
            </w:r>
            <w:r w:rsidR="0089444B">
              <w:rPr>
                <w:rFonts w:ascii="Arial Narrow" w:hAnsi="Arial Narrow" w:cs="Arial"/>
                <w:b/>
                <w:sz w:val="20"/>
                <w:szCs w:val="20"/>
              </w:rPr>
              <w:t>sztuk</w:t>
            </w:r>
            <w:r w:rsidR="00F5627C">
              <w:rPr>
                <w:rFonts w:ascii="Arial Narrow" w:hAnsi="Arial Narrow" w:cs="Arial"/>
                <w:b/>
                <w:sz w:val="20"/>
                <w:szCs w:val="20"/>
              </w:rPr>
              <w:t>i</w:t>
            </w: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682B18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Pompa objętościowa sterowana elektronicznie przeznaczona do stosowania u dorosłych</w:t>
            </w:r>
            <w:r w:rsidR="00BB127B">
              <w:rPr>
                <w:rFonts w:ascii="Arial Narrow" w:hAnsi="Arial Narrow" w:cs="Arial"/>
                <w:sz w:val="20"/>
                <w:szCs w:val="20"/>
              </w:rPr>
              <w:t xml:space="preserve"> dzieci i noworodków </w:t>
            </w:r>
            <w:r w:rsidRPr="000E03CB">
              <w:rPr>
                <w:rFonts w:ascii="Arial Narrow" w:hAnsi="Arial Narrow" w:cs="Arial"/>
                <w:sz w:val="20"/>
                <w:szCs w:val="20"/>
              </w:rPr>
              <w:t>do tymczasowego lub ciągłego podawania roztworów pozajelitowych i dojelitowych za pośrednictwem standardowych medycznych dróg dostępu. Do tych dróg należą m.in.: droga dożylna, dotętnicza, podskórna, zewnątrzoponowa i dojelitowa.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F0E1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Zasilanie 230V 50 Hz, bezpośrednio z sieci</w:t>
            </w:r>
            <w:r w:rsidR="00682B18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Klasa ochronności II lub równoważna</w:t>
            </w:r>
            <w:r w:rsidR="00682B18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Masa pompy gotowej do użycia poniżej 2 kg</w:t>
            </w:r>
            <w:r w:rsidR="00682B18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Wymiary pompy (Szer. x Wys. x Gł.)</w:t>
            </w:r>
            <w:r w:rsidR="00682B18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Dokładność podaży +/- 3%</w:t>
            </w:r>
            <w:r w:rsidR="00682B18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Menu pompy w języku polskim</w:t>
            </w:r>
            <w:r w:rsidR="00682B18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Instrukcja obsługi zaimplemetnowana w menu pompy, ułatwiająca obsługę urządzenia podczas zakładania linii jednorazowej.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Stopień ochrony IP 44 lub równoważny</w:t>
            </w:r>
            <w:r w:rsidR="00682B18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Kolorowy wyświetlacz 5", umożliwiający pełne dotykowe sterowanie i obsługę pompy; Wysoka rozdzielczość wyświetlanych informacji, min. 800x240 punktów.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Wbudowan</w:t>
            </w:r>
            <w:r w:rsidR="00682B18">
              <w:rPr>
                <w:rFonts w:ascii="Arial Narrow" w:hAnsi="Arial Narrow" w:cs="Arial"/>
                <w:sz w:val="20"/>
                <w:szCs w:val="20"/>
              </w:rPr>
              <w:t xml:space="preserve">y uchwyt do przenoszenia pompy. </w:t>
            </w:r>
            <w:r w:rsidRPr="000E03CB">
              <w:rPr>
                <w:rFonts w:ascii="Arial Narrow" w:hAnsi="Arial Narrow" w:cs="Arial"/>
                <w:sz w:val="20"/>
                <w:szCs w:val="20"/>
              </w:rPr>
              <w:t xml:space="preserve">Możliwość łączenia pomp w moduły i przenoszenia bez użycia stacji dokującej </w:t>
            </w:r>
            <w:r w:rsidR="00682B18">
              <w:rPr>
                <w:rFonts w:ascii="Arial Narrow" w:hAnsi="Arial Narrow" w:cs="Arial"/>
                <w:sz w:val="20"/>
                <w:szCs w:val="20"/>
              </w:rPr>
              <w:t xml:space="preserve">-  3 pompy na jednym uchwycie. </w:t>
            </w:r>
            <w:r w:rsidRPr="000E03CB">
              <w:rPr>
                <w:rFonts w:ascii="Arial Narrow" w:hAnsi="Arial Narrow" w:cs="Arial"/>
                <w:sz w:val="20"/>
                <w:szCs w:val="20"/>
              </w:rPr>
              <w:t xml:space="preserve">Opcjonalnie odłączalny zatrzaskowo uchwyt do mocowania pompy do stojaków infuzyjnych, oraz szyn poziomych. Zakres regulacji min. 20-40mm. 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682B18">
        <w:trPr>
          <w:cantSplit/>
          <w:trHeight w:val="59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Linia infuzyjna mocowana od przodu, c</w:t>
            </w:r>
            <w:r w:rsidR="00682B18">
              <w:rPr>
                <w:rFonts w:ascii="Arial Narrow" w:hAnsi="Arial Narrow" w:cs="Arial"/>
                <w:sz w:val="20"/>
                <w:szCs w:val="20"/>
              </w:rPr>
              <w:t xml:space="preserve">hroniona przed drzwiczki pompy. </w:t>
            </w:r>
            <w:r w:rsidRPr="000E03CB">
              <w:rPr>
                <w:rFonts w:ascii="Arial Narrow" w:hAnsi="Arial Narrow" w:cs="Arial"/>
                <w:sz w:val="20"/>
                <w:szCs w:val="20"/>
              </w:rPr>
              <w:t>Mechanizm zabezpieczający  przed swobodnym  niekontrolowanym przepływem składający się z dwóch elementów – jeden w pompie jeden na drenie.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Dostępne linie infuzyjne do szerokiego spektrum terapii: podstawowe bezbarwne, chroniące przed światłem, do transfuzji, do terapii przeciwbólowych pracujące w systemie NRFit, do antybiotykoterapii, wielodrożne do onkologii pracujące w systemie zamkniętym, oraz dojelitowe pracujące w systemie ENFit</w:t>
            </w:r>
            <w:r w:rsidR="00682B18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Zatrzaskowe mocowanie w stacji dokującej, bez konieczności przykręcania</w:t>
            </w:r>
            <w:r w:rsidR="00682B18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Komunikacja pomiędzy pompą a stacja dokującą odbywa się za pośrednictwem IrDA</w:t>
            </w:r>
            <w:r w:rsidR="00682B18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Pompa wyposażona w moduł łączności bezprzewodowej WLAN w standardach 802.11a, 802.11b, 802.11g, 802.11n; umożliwiający podłączenie urządzenia do szpitalnego systemu informatycznego w standardzie HL7-IHE; Wspierane prędkości transferu WLAN 802.11a (OFDM): 6/9/12/18/24/36/48/54 Mbit/s, 802.11b (DSSS, CCK): 1/2/5.5/11 Mbit/s, 802.11g (OFDM): 6/9/12/18/24/36/48/54 Mbit/s 802.11n (OFDM, HT20, MCS 0-15):Full guard interval: 6.5/13/19.5/26/39/52/58.5/65/78/104/117 Mbit/s, Short guard interval: 1.2/14.4/21.7/28.9/29.9/43.3/57.8/65/72.2/86.7/115.6/130/144.4 Mbit/s; Standardy bezpieczeństwa: Wireless Equivalent Privacy (WEP), Wi-Fi Protected Access (WPA), IEEE 802.11i (WPA2),FIPS 140-2 Level 1</w:t>
            </w:r>
            <w:r w:rsidR="00682B18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682B18">
        <w:trPr>
          <w:cantSplit/>
          <w:trHeight w:val="63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Pompa przygotowana do podłączenia do szpitalnego systemu informa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 xml:space="preserve">tycznego w standardzie HL7-IHE. </w:t>
            </w:r>
            <w:r w:rsidRPr="000E03CB">
              <w:rPr>
                <w:rFonts w:ascii="Arial Narrow" w:hAnsi="Arial Narrow" w:cs="Arial"/>
                <w:sz w:val="20"/>
                <w:szCs w:val="20"/>
              </w:rPr>
              <w:t>Pompa wyposażona w bufor do przechowania inf</w:t>
            </w:r>
            <w:r w:rsidR="00682B18">
              <w:rPr>
                <w:rFonts w:ascii="Arial Narrow" w:hAnsi="Arial Narrow" w:cs="Arial"/>
                <w:sz w:val="20"/>
                <w:szCs w:val="20"/>
              </w:rPr>
              <w:t>ormacji w przypadku utraty łącz</w:t>
            </w:r>
            <w:r w:rsidRPr="000E03CB">
              <w:rPr>
                <w:rFonts w:ascii="Arial Narrow" w:hAnsi="Arial Narrow" w:cs="Arial"/>
                <w:sz w:val="20"/>
                <w:szCs w:val="20"/>
              </w:rPr>
              <w:t>ności. Całość komunikacji szyfrowana na zasadzie end-to-end.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Możliwość zdalnej aktualizacji oprogramowania pompy, oraz biblioteki leków bez konieczności przerywania pracy pompy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>,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 xml:space="preserve">Zakres prędkości 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 xml:space="preserve">infuzji min. 0,1 do 1200 ml/h. </w:t>
            </w:r>
            <w:r w:rsidRPr="000E03CB">
              <w:rPr>
                <w:rFonts w:ascii="Arial Narrow" w:hAnsi="Arial Narrow" w:cs="Arial"/>
                <w:sz w:val="20"/>
                <w:szCs w:val="20"/>
              </w:rPr>
              <w:t>Zmiana prędkości podaży bez przerywania infuzji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Wstępnie wybierana objętość w zakresie 0,10 - 9999 ml , w zakresie co najmniej 0,10 ml — 99,99 ml programowana w krokach co 0,01 ml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Wstępnie wybierany czas w zakresie 00h01min - 99h59min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Automatyczna kalkulacja prędkości podaży po wprowadzeniu objętości i czasu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Możliwość programowania parametrów infuzji w mg, mcg, ng, IE, mmol, lub mEq ,z uwzględnieniem lub nie masy ciała w odniesieniu do czasu ( np. mg/kg/min; mg/kg/h; mg/kg/24h)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 xml:space="preserve">Pompa wyposażona w system redukcji błędów dawki. 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System automatycznej redukcji bolusa po alarmie ciśnienia okluzji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Bolus: Prędkość bolusa możliwa do zaprogramowania w zakresie 1-1200 ml/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>.</w:t>
            </w:r>
            <w:r w:rsidRPr="000E03CB">
              <w:rPr>
                <w:rFonts w:ascii="Arial Narrow" w:hAnsi="Arial Narrow" w:cs="Arial"/>
                <w:sz w:val="20"/>
                <w:szCs w:val="20"/>
              </w:rPr>
              <w:t xml:space="preserve">h 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Tryby bolusa: Bolus na żądanie; Bolu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>s programowany z automatyczną ka</w:t>
            </w:r>
            <w:r w:rsidRPr="000E03CB">
              <w:rPr>
                <w:rFonts w:ascii="Arial Narrow" w:hAnsi="Arial Narrow" w:cs="Arial"/>
                <w:sz w:val="20"/>
                <w:szCs w:val="20"/>
              </w:rPr>
              <w:t xml:space="preserve">lkulacją prędkości po 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>wprowadzeniu objętości i czasu.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Możliwość podaży bolusa w jednostkach mg, mcg, mmol, mEq oraz jednostkach wagowych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89444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</w:t>
            </w:r>
            <w:r w:rsidR="000E03CB" w:rsidRPr="000E03CB">
              <w:rPr>
                <w:rFonts w:ascii="Arial Narrow" w:hAnsi="Arial Narrow" w:cs="Arial"/>
                <w:sz w:val="20"/>
                <w:szCs w:val="20"/>
              </w:rPr>
              <w:t>ryb stand-by w zakresie od 1 min do 24 godzin z programowaniem co 1 minutę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Regulacja intensywności podśw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0E03CB">
              <w:rPr>
                <w:rFonts w:ascii="Arial Narrow" w:hAnsi="Arial Narrow" w:cs="Arial"/>
                <w:sz w:val="20"/>
                <w:szCs w:val="20"/>
              </w:rPr>
              <w:t>etlenia na min. 8 poziomach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D4499D">
        <w:trPr>
          <w:cantSplit/>
          <w:trHeight w:val="1053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D4499D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Biblioteka leków z możli</w:t>
            </w:r>
            <w:r w:rsidR="000E03CB" w:rsidRPr="000E03CB">
              <w:rPr>
                <w:rFonts w:ascii="Arial Narrow" w:hAnsi="Arial Narrow" w:cs="Arial"/>
                <w:sz w:val="20"/>
                <w:szCs w:val="20"/>
              </w:rPr>
              <w:t>wością wpisu min.10000 leków, z możliwością podzielenia na min. 30 kategorii i 15 profili pacjentów; Każdy lek może być powiązany z limitami miękkimi, z limitami twardymi, oraz kolorowymi etykietami - min. 30 kombinacji kolorystycznych; Nazwa leku stale widoczna na wyśw</w:t>
            </w:r>
            <w:r>
              <w:rPr>
                <w:rFonts w:ascii="Arial Narrow" w:hAnsi="Arial Narrow" w:cs="Arial"/>
                <w:sz w:val="20"/>
                <w:szCs w:val="20"/>
              </w:rPr>
              <w:t>ietlaczu pompy, również po wystą</w:t>
            </w:r>
            <w:r w:rsidR="000E03CB" w:rsidRPr="000E03CB">
              <w:rPr>
                <w:rFonts w:ascii="Arial Narrow" w:hAnsi="Arial Narrow" w:cs="Arial"/>
                <w:sz w:val="20"/>
                <w:szCs w:val="20"/>
              </w:rPr>
              <w:t>pieniu dowolnego alarmu; Możliwość wprowadzenia do pompy biblioteki leków bezpośrednio z komputera, lub zdalnie poprzez sieć szpitalną z centralnego serwera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 xml:space="preserve">Ciśnienie okluzji możliwe do ustawienia na min. 9 poziomach 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>w zakresie od 50 do 825 mmHg; Ws</w:t>
            </w:r>
            <w:r w:rsidRPr="000E03CB">
              <w:rPr>
                <w:rFonts w:ascii="Arial Narrow" w:hAnsi="Arial Narrow" w:cs="Arial"/>
                <w:sz w:val="20"/>
                <w:szCs w:val="20"/>
              </w:rPr>
              <w:t>kaźnik ciśnienia okluzji stale widoczny na wyświetlaczu pompy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Wbudow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 xml:space="preserve">any akumulator litowo – jonowy. </w:t>
            </w:r>
            <w:r w:rsidRPr="000E03CB">
              <w:rPr>
                <w:rFonts w:ascii="Arial Narrow" w:hAnsi="Arial Narrow" w:cs="Arial"/>
                <w:sz w:val="20"/>
                <w:szCs w:val="20"/>
              </w:rPr>
              <w:t xml:space="preserve">Zasilanie z wbudowanego akumulatora ok. 6 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 xml:space="preserve">godz. przy przepływie 100 ml/h. </w:t>
            </w:r>
            <w:r w:rsidRPr="000E03CB">
              <w:rPr>
                <w:rFonts w:ascii="Arial Narrow" w:hAnsi="Arial Narrow" w:cs="Arial"/>
                <w:sz w:val="20"/>
                <w:szCs w:val="20"/>
              </w:rPr>
              <w:t xml:space="preserve">Czas 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>ponownego ładowania ok. 5 godz.</w:t>
            </w:r>
            <w:r w:rsidRPr="000E03CB">
              <w:rPr>
                <w:rFonts w:ascii="Arial Narrow" w:hAnsi="Arial Narrow" w:cs="Arial"/>
                <w:sz w:val="20"/>
                <w:szCs w:val="20"/>
              </w:rPr>
              <w:t xml:space="preserve"> Na wyświetlaczu widoczna precyzyjna informacja o pozostałym czasie pracy aku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 xml:space="preserve">mulatora w godzinach i minutach. </w:t>
            </w:r>
            <w:r w:rsidRPr="000E03CB">
              <w:rPr>
                <w:rFonts w:ascii="Arial Narrow" w:hAnsi="Arial Narrow" w:cs="Arial"/>
                <w:sz w:val="20"/>
                <w:szCs w:val="20"/>
              </w:rPr>
              <w:t>Automatyczne łado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>wanie akumulatora w pompie podłą</w:t>
            </w:r>
            <w:r w:rsidRPr="000E03CB">
              <w:rPr>
                <w:rFonts w:ascii="Arial Narrow" w:hAnsi="Arial Narrow" w:cs="Arial"/>
                <w:sz w:val="20"/>
                <w:szCs w:val="20"/>
              </w:rPr>
              <w:t>czonej do zasilania sieciowego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Pobór mocy w normalnych warunkach pracy ok. 6 W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Rozbudowan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>y system alarmów wizualnych i dźwiękowych.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Czułość techniczna wykrywania pęcherzyków powietrza≥ 0.01 mL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Historia pracy dost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>ępna z menu pompy, z możliwością</w:t>
            </w:r>
            <w:r w:rsidRPr="000E03CB">
              <w:rPr>
                <w:rFonts w:ascii="Arial Narrow" w:hAnsi="Arial Narrow" w:cs="Arial"/>
                <w:sz w:val="20"/>
                <w:szCs w:val="20"/>
              </w:rPr>
              <w:t xml:space="preserve"> zapisania do 1000 zdarzeń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Możliwość wprowadzenia informacji o dacie następnego przeglądu technicznego i wyświetlania jej przy każdym uruchomieniu pompy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4499D" w:rsidRPr="00B2615A" w:rsidTr="00D4499D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4499D" w:rsidRPr="00B2615A" w:rsidRDefault="00D4499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851" w:type="pct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4499D" w:rsidRPr="00D4499D" w:rsidRDefault="00D4499D" w:rsidP="00F5627C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4499D">
              <w:rPr>
                <w:rFonts w:ascii="Arial Narrow" w:hAnsi="Arial Narrow" w:cs="Arial"/>
                <w:b/>
                <w:sz w:val="20"/>
                <w:szCs w:val="20"/>
              </w:rPr>
              <w:t>Stacja dokująca</w:t>
            </w:r>
            <w:r w:rsidR="0089444B">
              <w:rPr>
                <w:rFonts w:ascii="Arial Narrow" w:hAnsi="Arial Narrow" w:cs="Arial"/>
                <w:b/>
                <w:sz w:val="20"/>
                <w:szCs w:val="20"/>
              </w:rPr>
              <w:t xml:space="preserve"> –</w:t>
            </w:r>
            <w:r w:rsidR="00F5627C">
              <w:rPr>
                <w:rFonts w:ascii="Arial Narrow" w:hAnsi="Arial Narrow" w:cs="Arial"/>
                <w:b/>
                <w:sz w:val="20"/>
                <w:szCs w:val="20"/>
              </w:rPr>
              <w:t>6 sztuk.</w:t>
            </w:r>
          </w:p>
        </w:tc>
      </w:tr>
      <w:tr w:rsidR="00113E23" w:rsidRPr="00B2615A" w:rsidTr="001F4100">
        <w:trPr>
          <w:cantSplit/>
          <w:trHeight w:val="511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113E23" w:rsidRDefault="00113E23" w:rsidP="00113E23">
            <w:pPr>
              <w:rPr>
                <w:rFonts w:ascii="Arial Narrow" w:hAnsi="Arial Narrow" w:cs="Arial"/>
                <w:sz w:val="20"/>
                <w:szCs w:val="20"/>
              </w:rPr>
            </w:pPr>
            <w:r w:rsidRPr="00113E23">
              <w:rPr>
                <w:rFonts w:ascii="Arial Narrow" w:hAnsi="Arial Narrow" w:cs="Arial"/>
                <w:color w:val="000000"/>
                <w:sz w:val="20"/>
                <w:szCs w:val="20"/>
              </w:rPr>
              <w:t>Moduł stacji dokujących dla pomp strzykawkowych i objętościowych umożliwiająca zasilanie wszystkich podłączonych pomp jednym p</w:t>
            </w:r>
            <w:r w:rsidR="00D1101C">
              <w:rPr>
                <w:rFonts w:ascii="Arial Narrow" w:hAnsi="Arial Narrow" w:cs="Arial"/>
                <w:color w:val="000000"/>
                <w:sz w:val="20"/>
                <w:szCs w:val="20"/>
              </w:rPr>
              <w:t>rzewodem zasilającym - pojemność</w:t>
            </w:r>
            <w:r w:rsidRPr="00113E2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min. 4 pomp</w:t>
            </w:r>
            <w:r w:rsidR="00D1101C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E23" w:rsidRPr="00DF0E1E" w:rsidRDefault="00113E23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13E23" w:rsidRPr="00DF0E1E" w:rsidRDefault="00113E23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113E2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113E23" w:rsidRDefault="00113E23" w:rsidP="00113E23">
            <w:pPr>
              <w:rPr>
                <w:rFonts w:ascii="Arial Narrow" w:hAnsi="Arial Narrow" w:cs="Arial"/>
                <w:sz w:val="20"/>
                <w:szCs w:val="20"/>
              </w:rPr>
            </w:pPr>
            <w:r w:rsidRPr="00113E23">
              <w:rPr>
                <w:rFonts w:ascii="Arial Narrow" w:hAnsi="Arial Narrow" w:cs="Arial"/>
                <w:color w:val="000000"/>
                <w:sz w:val="20"/>
                <w:szCs w:val="20"/>
              </w:rPr>
              <w:t>Zasilanie 230V 50 Hz, bezpośrednio z sieci</w:t>
            </w:r>
            <w:r w:rsidR="00D1101C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E23" w:rsidRPr="00DF0E1E" w:rsidRDefault="00113E23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13E23" w:rsidRPr="00DF0E1E" w:rsidRDefault="00113E23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113E2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113E23" w:rsidRDefault="00113E23" w:rsidP="00113E23">
            <w:pPr>
              <w:rPr>
                <w:rFonts w:ascii="Arial Narrow" w:hAnsi="Arial Narrow" w:cs="Arial"/>
                <w:sz w:val="20"/>
                <w:szCs w:val="20"/>
              </w:rPr>
            </w:pPr>
            <w:r w:rsidRPr="00113E23">
              <w:rPr>
                <w:rFonts w:ascii="Arial Narrow" w:hAnsi="Arial Narrow" w:cs="Arial"/>
                <w:color w:val="000000"/>
                <w:sz w:val="20"/>
                <w:szCs w:val="20"/>
              </w:rPr>
              <w:t>Klasa ochronności I lub równoważna</w:t>
            </w:r>
            <w:r w:rsidR="00D1101C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E23" w:rsidRPr="00DF0E1E" w:rsidRDefault="00113E23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13E23" w:rsidRPr="00DF0E1E" w:rsidRDefault="00113E23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113E2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113E23" w:rsidRDefault="00113E23" w:rsidP="00113E23">
            <w:pPr>
              <w:rPr>
                <w:rFonts w:ascii="Arial Narrow" w:hAnsi="Arial Narrow" w:cs="Arial"/>
                <w:sz w:val="20"/>
                <w:szCs w:val="20"/>
              </w:rPr>
            </w:pPr>
            <w:r w:rsidRPr="00113E23">
              <w:rPr>
                <w:rFonts w:ascii="Arial Narrow" w:hAnsi="Arial Narrow" w:cs="Arial"/>
                <w:color w:val="000000"/>
                <w:sz w:val="20"/>
                <w:szCs w:val="20"/>
              </w:rPr>
              <w:t>Ze względów bezpieczeństwa wszystkie złącza zasilania są wyłączone do momentu włożenia pompy.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E23" w:rsidRPr="00DF0E1E" w:rsidRDefault="00113E23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13E23" w:rsidRPr="00DF0E1E" w:rsidRDefault="00113E23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113E2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113E23" w:rsidRDefault="00113E23" w:rsidP="00113E23">
            <w:pPr>
              <w:rPr>
                <w:rFonts w:ascii="Arial Narrow" w:hAnsi="Arial Narrow" w:cs="Arial"/>
                <w:sz w:val="20"/>
                <w:szCs w:val="20"/>
              </w:rPr>
            </w:pPr>
            <w:r w:rsidRPr="00113E23">
              <w:rPr>
                <w:rFonts w:ascii="Arial Narrow" w:hAnsi="Arial Narrow" w:cs="Arial"/>
                <w:color w:val="000000"/>
                <w:sz w:val="20"/>
                <w:szCs w:val="20"/>
              </w:rPr>
              <w:t>Wag</w:t>
            </w:r>
            <w:r w:rsidR="001F4100">
              <w:rPr>
                <w:rFonts w:ascii="Arial Narrow" w:hAnsi="Arial Narrow" w:cs="Arial"/>
                <w:color w:val="000000"/>
                <w:sz w:val="20"/>
                <w:szCs w:val="20"/>
              </w:rPr>
              <w:t>a modułu stacji dokujących dla 4 pomp poniżej 6</w:t>
            </w:r>
            <w:r w:rsidRPr="00113E2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kg</w:t>
            </w:r>
            <w:r w:rsidR="00D1101C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E23" w:rsidRPr="00DF0E1E" w:rsidRDefault="00113E23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13E23" w:rsidRPr="00DF0E1E" w:rsidRDefault="00113E23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113E2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113E23" w:rsidRDefault="00113E23" w:rsidP="00113E23">
            <w:pPr>
              <w:rPr>
                <w:rFonts w:ascii="Arial Narrow" w:hAnsi="Arial Narrow" w:cs="Arial"/>
                <w:sz w:val="20"/>
                <w:szCs w:val="20"/>
              </w:rPr>
            </w:pPr>
            <w:r w:rsidRPr="00113E2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Wymiary modułu stacji </w:t>
            </w:r>
            <w:r w:rsidR="001F4100">
              <w:rPr>
                <w:rFonts w:ascii="Arial Narrow" w:hAnsi="Arial Narrow" w:cs="Arial"/>
                <w:color w:val="000000"/>
                <w:sz w:val="20"/>
                <w:szCs w:val="20"/>
              </w:rPr>
              <w:t>dokujących razem z pokrywą dla 4</w:t>
            </w:r>
            <w:r w:rsidRPr="00113E2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pomp (Szer. x Wys. x Gł.)</w:t>
            </w:r>
            <w:r w:rsidR="00D1101C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E23" w:rsidRPr="00DF0E1E" w:rsidRDefault="00113E23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13E23" w:rsidRPr="00DF0E1E" w:rsidRDefault="00113E23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113E2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113E23" w:rsidRDefault="00113E23" w:rsidP="00113E23">
            <w:pPr>
              <w:rPr>
                <w:rFonts w:ascii="Arial Narrow" w:hAnsi="Arial Narrow" w:cs="Arial"/>
                <w:sz w:val="20"/>
                <w:szCs w:val="20"/>
              </w:rPr>
            </w:pPr>
            <w:r w:rsidRPr="00113E23">
              <w:rPr>
                <w:rFonts w:ascii="Arial Narrow" w:hAnsi="Arial Narrow" w:cs="Arial"/>
                <w:color w:val="000000"/>
                <w:sz w:val="20"/>
                <w:szCs w:val="20"/>
              </w:rPr>
              <w:t>Maksymalna całkowita wysokość modułu stacji dokujących wraz z pompami</w:t>
            </w:r>
            <w:r w:rsidR="001F4100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– dla 4 pomp: 350</w:t>
            </w:r>
            <w:r w:rsidRPr="00113E2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mm</w:t>
            </w:r>
            <w:r w:rsidR="00D1101C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E23" w:rsidRPr="00DF0E1E" w:rsidRDefault="00113E23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13E23" w:rsidRPr="00DF0E1E" w:rsidRDefault="00113E23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113E2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113E23" w:rsidRDefault="00113E23" w:rsidP="00113E23">
            <w:pPr>
              <w:rPr>
                <w:rFonts w:ascii="Arial Narrow" w:hAnsi="Arial Narrow" w:cs="Arial"/>
                <w:sz w:val="20"/>
                <w:szCs w:val="20"/>
              </w:rPr>
            </w:pPr>
            <w:r w:rsidRPr="00113E23">
              <w:rPr>
                <w:rFonts w:ascii="Arial Narrow" w:hAnsi="Arial Narrow" w:cs="Arial"/>
                <w:color w:val="000000"/>
                <w:sz w:val="20"/>
                <w:szCs w:val="20"/>
              </w:rPr>
              <w:t>Stopień ochrony IP 44 lub równoważny</w:t>
            </w:r>
            <w:r w:rsidR="00D1101C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E23" w:rsidRPr="00DF0E1E" w:rsidRDefault="00113E23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13E23" w:rsidRPr="00DF0E1E" w:rsidRDefault="00113E23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113E2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113E23" w:rsidRDefault="00113E23" w:rsidP="00113E23">
            <w:pPr>
              <w:rPr>
                <w:rFonts w:ascii="Arial Narrow" w:hAnsi="Arial Narrow" w:cs="Arial"/>
                <w:sz w:val="20"/>
                <w:szCs w:val="20"/>
              </w:rPr>
            </w:pPr>
            <w:r w:rsidRPr="00113E23">
              <w:rPr>
                <w:rFonts w:ascii="Arial Narrow" w:hAnsi="Arial Narrow" w:cs="Arial"/>
                <w:color w:val="000000"/>
                <w:sz w:val="20"/>
                <w:szCs w:val="20"/>
              </w:rPr>
              <w:t>Wbudowany uchwyt do mocowania stacji do kolumn anestezjologicznych, stojaków infuzyjnych</w:t>
            </w:r>
            <w:r w:rsidR="00D1101C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E23" w:rsidRPr="00DF0E1E" w:rsidRDefault="00113E23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13E23" w:rsidRPr="00DF0E1E" w:rsidRDefault="00113E23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113E2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113E23" w:rsidRDefault="00113E23" w:rsidP="00113E23">
            <w:pPr>
              <w:rPr>
                <w:rFonts w:ascii="Arial Narrow" w:hAnsi="Arial Narrow" w:cs="Arial"/>
                <w:sz w:val="20"/>
                <w:szCs w:val="20"/>
              </w:rPr>
            </w:pPr>
            <w:r w:rsidRPr="00113E2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Możliwość łączenia stacji w moduły bez użycia specjalnych narzędzi. 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E23" w:rsidRPr="00DF0E1E" w:rsidRDefault="00113E23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13E23" w:rsidRPr="00DF0E1E" w:rsidRDefault="00113E23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113E2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113E23" w:rsidRDefault="00113E23" w:rsidP="00113E23">
            <w:pPr>
              <w:rPr>
                <w:rFonts w:ascii="Arial Narrow" w:hAnsi="Arial Narrow" w:cs="Arial"/>
                <w:sz w:val="20"/>
                <w:szCs w:val="20"/>
              </w:rPr>
            </w:pPr>
            <w:r w:rsidRPr="00113E23">
              <w:rPr>
                <w:rFonts w:ascii="Arial Narrow" w:hAnsi="Arial Narrow" w:cs="Arial"/>
                <w:color w:val="000000"/>
                <w:sz w:val="20"/>
                <w:szCs w:val="20"/>
              </w:rPr>
              <w:t>Zespół połączonych stacji dokujących umożliwia pracę do 24 pomp w obrębie jednego stanowiska.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E23" w:rsidRPr="00DF0E1E" w:rsidRDefault="00113E23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13E23" w:rsidRPr="00DF0E1E" w:rsidRDefault="00113E23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113E2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113E23" w:rsidRDefault="00113E23" w:rsidP="00113E23">
            <w:pPr>
              <w:rPr>
                <w:rFonts w:ascii="Arial Narrow" w:hAnsi="Arial Narrow" w:cs="Arial"/>
                <w:sz w:val="20"/>
                <w:szCs w:val="20"/>
              </w:rPr>
            </w:pPr>
            <w:r w:rsidRPr="00113E23">
              <w:rPr>
                <w:rFonts w:ascii="Arial Narrow" w:hAnsi="Arial Narrow" w:cs="Arial"/>
                <w:color w:val="000000"/>
                <w:sz w:val="20"/>
                <w:szCs w:val="20"/>
              </w:rPr>
              <w:t>Stanowisko ze stacją wyposażone w sygnalizację świetlną oraz akustyczną, pozwalająca łatwo zidentyfikować status infuzji.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E23" w:rsidRPr="00DF0E1E" w:rsidRDefault="00113E23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13E23" w:rsidRPr="00DF0E1E" w:rsidRDefault="00113E23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113E2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113E23" w:rsidRDefault="00113E23" w:rsidP="00113E23">
            <w:pPr>
              <w:rPr>
                <w:rFonts w:ascii="Arial Narrow" w:hAnsi="Arial Narrow" w:cs="Arial"/>
                <w:sz w:val="20"/>
                <w:szCs w:val="20"/>
              </w:rPr>
            </w:pPr>
            <w:r w:rsidRPr="00113E23">
              <w:rPr>
                <w:rFonts w:ascii="Arial Narrow" w:hAnsi="Arial Narrow" w:cs="Arial"/>
                <w:color w:val="000000"/>
                <w:sz w:val="20"/>
                <w:szCs w:val="20"/>
              </w:rPr>
              <w:t>Zatrzaskowe mocowanie pomp.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E23" w:rsidRPr="00DF0E1E" w:rsidRDefault="00113E23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13E23" w:rsidRPr="00DF0E1E" w:rsidRDefault="00113E23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113E2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113E23" w:rsidRDefault="00113E23" w:rsidP="00113E23">
            <w:pPr>
              <w:rPr>
                <w:rFonts w:ascii="Arial Narrow" w:hAnsi="Arial Narrow" w:cs="Arial"/>
                <w:sz w:val="20"/>
                <w:szCs w:val="20"/>
              </w:rPr>
            </w:pPr>
            <w:r w:rsidRPr="00113E23">
              <w:rPr>
                <w:rFonts w:ascii="Arial Narrow" w:hAnsi="Arial Narrow" w:cs="Arial"/>
                <w:color w:val="000000"/>
                <w:sz w:val="20"/>
                <w:szCs w:val="20"/>
              </w:rPr>
              <w:t>Stacja wyposażona w interfejs przywołania personelu</w:t>
            </w:r>
            <w:r w:rsidR="00D1101C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E23" w:rsidRPr="00DF0E1E" w:rsidRDefault="00113E23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13E23" w:rsidRPr="00DF0E1E" w:rsidRDefault="00113E23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113E2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113E23" w:rsidRDefault="00113E23" w:rsidP="00113E23">
            <w:pPr>
              <w:rPr>
                <w:rFonts w:ascii="Arial Narrow" w:hAnsi="Arial Narrow" w:cs="Arial"/>
                <w:sz w:val="20"/>
                <w:szCs w:val="20"/>
              </w:rPr>
            </w:pPr>
            <w:r w:rsidRPr="00113E23">
              <w:rPr>
                <w:rFonts w:ascii="Arial Narrow" w:hAnsi="Arial Narrow" w:cs="Arial"/>
                <w:color w:val="000000"/>
                <w:sz w:val="20"/>
                <w:szCs w:val="20"/>
              </w:rPr>
              <w:t>Komunikacja pomiędzy pompą a stacja dokującą odbywa się za pośrednictwem IrDA</w:t>
            </w:r>
            <w:r w:rsidR="00D1101C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E23" w:rsidRPr="00DF0E1E" w:rsidRDefault="00113E23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13E23" w:rsidRPr="00DF0E1E" w:rsidRDefault="00113E23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113E2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113E23" w:rsidRDefault="00113E23" w:rsidP="00113E23">
            <w:pPr>
              <w:rPr>
                <w:rFonts w:ascii="Arial Narrow" w:hAnsi="Arial Narrow" w:cs="Arial"/>
                <w:sz w:val="20"/>
                <w:szCs w:val="20"/>
              </w:rPr>
            </w:pPr>
            <w:r w:rsidRPr="00113E23">
              <w:rPr>
                <w:rFonts w:ascii="Arial Narrow" w:hAnsi="Arial Narrow" w:cs="Arial"/>
                <w:sz w:val="20"/>
                <w:szCs w:val="20"/>
              </w:rPr>
              <w:t>Możliwość rozbudowania stacji dokującej o moduł komunikacyjny do przesyłania danych drogą przewodową (Ethernet)</w:t>
            </w:r>
            <w:r w:rsidR="00D1101C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E23" w:rsidRPr="00DF0E1E" w:rsidRDefault="00113E23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13E23" w:rsidRPr="00DF0E1E" w:rsidRDefault="00113E23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113E2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113E23" w:rsidRDefault="00113E23" w:rsidP="00113E23">
            <w:pPr>
              <w:rPr>
                <w:rFonts w:ascii="Arial Narrow" w:hAnsi="Arial Narrow" w:cs="Arial"/>
                <w:sz w:val="20"/>
                <w:szCs w:val="20"/>
              </w:rPr>
            </w:pPr>
            <w:r w:rsidRPr="00113E23">
              <w:rPr>
                <w:rFonts w:ascii="Arial Narrow" w:hAnsi="Arial Narrow" w:cs="Arial"/>
                <w:sz w:val="20"/>
                <w:szCs w:val="20"/>
              </w:rPr>
              <w:t>Pokr</w:t>
            </w:r>
            <w:r w:rsidR="00D1101C">
              <w:rPr>
                <w:rFonts w:ascii="Arial Narrow" w:hAnsi="Arial Narrow" w:cs="Arial"/>
                <w:sz w:val="20"/>
                <w:szCs w:val="20"/>
              </w:rPr>
              <w:t>ywa stanowiska ze stacją wyposaż</w:t>
            </w:r>
            <w:r w:rsidRPr="00113E23">
              <w:rPr>
                <w:rFonts w:ascii="Arial Narrow" w:hAnsi="Arial Narrow" w:cs="Arial"/>
                <w:sz w:val="20"/>
                <w:szCs w:val="20"/>
              </w:rPr>
              <w:t>ona w profil do odłożenia strzykawki podczas wymiany.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E23" w:rsidRPr="00DF0E1E" w:rsidRDefault="00113E23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13E23" w:rsidRPr="00DF0E1E" w:rsidRDefault="00113E23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DF0E1E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1E5C5D" w:rsidRDefault="00113E23" w:rsidP="00DF0E1E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bookmarkStart w:id="0" w:name="_Hlk481595046"/>
            <w:r w:rsidRPr="001E5C5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 Inne wymagania</w:t>
            </w:r>
          </w:p>
        </w:tc>
      </w:tr>
      <w:bookmarkEnd w:id="0"/>
      <w:tr w:rsidR="00113E23" w:rsidRPr="00B2615A" w:rsidTr="00DF0E1E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CE0A78" w:rsidRDefault="00113E23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Urządzenia fabrycznie nowe, rok produkcji </w:t>
            </w: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nie starszy niż 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2025.</w:t>
            </w:r>
          </w:p>
        </w:tc>
        <w:tc>
          <w:tcPr>
            <w:tcW w:w="6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DF0E1E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1E5C5D" w:rsidRDefault="00113E23" w:rsidP="00B2615A">
            <w:pPr>
              <w:rPr>
                <w:rFonts w:ascii="Arial Narrow" w:hAnsi="Arial Narrow" w:cs="Arial"/>
                <w:sz w:val="20"/>
                <w:szCs w:val="20"/>
                <w:highlight w:val="yellow"/>
              </w:rPr>
            </w:pPr>
            <w:r w:rsidRPr="000D117D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="000D117D" w:rsidRPr="000D117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D117D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0D117D" w:rsidRPr="000D117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D117D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="000D117D" w:rsidRPr="000D117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D117D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="000D117D" w:rsidRPr="000D117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D117D">
              <w:rPr>
                <w:rFonts w:ascii="Arial Narrow" w:hAnsi="Arial Narrow" w:cs="Arial"/>
                <w:sz w:val="20"/>
                <w:szCs w:val="20"/>
              </w:rPr>
              <w:t>w</w:t>
            </w:r>
            <w:r w:rsidR="000D117D" w:rsidRPr="000D117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D117D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="000D117D" w:rsidRPr="000D117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D117D">
              <w:rPr>
                <w:rFonts w:ascii="Arial Narrow" w:hAnsi="Arial Narrow" w:cs="Arial"/>
                <w:sz w:val="20"/>
                <w:szCs w:val="20"/>
              </w:rPr>
              <w:t>polskim (1szt. papierowa dostarczona wraz dostawą).</w:t>
            </w:r>
          </w:p>
        </w:tc>
        <w:tc>
          <w:tcPr>
            <w:tcW w:w="6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DF0E1E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CE0A78" w:rsidRDefault="00113E23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CE0A78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6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DF0E1E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CE0A78" w:rsidRDefault="00113E23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Oświadczamy,żeprzedmiotofertyjestkompletnyibędziegotowydopracyzgodniezinstrukcjąobsługibezżadnychdodatkowychzakupów.</w:t>
            </w:r>
          </w:p>
        </w:tc>
        <w:tc>
          <w:tcPr>
            <w:tcW w:w="6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46F87" w:rsidRPr="00B2615A" w:rsidTr="00F46F87">
        <w:trPr>
          <w:cantSplit/>
          <w:trHeight w:val="65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6F87" w:rsidRPr="00B2615A" w:rsidRDefault="00F46F87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6F87" w:rsidRPr="00CE0A78" w:rsidRDefault="00431D22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99560C">
              <w:rPr>
                <w:rFonts w:ascii="Arial Narrow" w:hAnsi="Arial Narrow" w:cs="Arial"/>
                <w:spacing w:val="-1"/>
                <w:sz w:val="20"/>
                <w:szCs w:val="20"/>
              </w:rPr>
              <w:t>Wykonawca zobowiązuję się do zabrania i utylizacji na własny koszt wszelkich opakowań po dostarczonym sprzęcie (w szczególności: palet, opakowań kartonowych, zabezpieczeń ze styropianu, folii)</w:t>
            </w:r>
          </w:p>
        </w:tc>
        <w:tc>
          <w:tcPr>
            <w:tcW w:w="6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6F87" w:rsidRPr="00B2615A" w:rsidRDefault="00F46F87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6F87" w:rsidRPr="00B2615A" w:rsidRDefault="00F46F87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DF0E1E">
        <w:trPr>
          <w:cantSplit/>
          <w:trHeight w:val="85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CE0A78" w:rsidRDefault="00113E23" w:rsidP="00B2615A">
            <w:pPr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Dostawcazobowiązujesiędo:</w:t>
            </w:r>
          </w:p>
          <w:p w:rsidR="00113E23" w:rsidRDefault="00113E23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- dokonania na własny koszt dostawy na teren siedziby Zamawiającego,</w:t>
            </w:r>
          </w:p>
          <w:p w:rsidR="00950CA3" w:rsidRPr="00CE0A78" w:rsidRDefault="00950CA3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50CA3">
              <w:rPr>
                <w:rFonts w:ascii="Arial Narrow" w:hAnsi="Arial Narrow" w:cs="Arial"/>
                <w:sz w:val="20"/>
                <w:szCs w:val="20"/>
              </w:rPr>
              <w:t>- dokonania instalacji we wskazanym miejscu przez Zamawiającego,</w:t>
            </w:r>
          </w:p>
          <w:p w:rsidR="00113E23" w:rsidRPr="00CE0A78" w:rsidRDefault="00113E23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- dokonania szkolenia w zakresie obsługi przedmiotu zamówienia.</w:t>
            </w:r>
          </w:p>
        </w:tc>
        <w:tc>
          <w:tcPr>
            <w:tcW w:w="6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B2615A">
        <w:trPr>
          <w:cantSplit/>
          <w:trHeight w:hRule="exact" w:val="43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CE0A78" w:rsidRDefault="00113E23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Warunki gwarancji i serwisu</w:t>
            </w:r>
          </w:p>
        </w:tc>
      </w:tr>
      <w:tr w:rsidR="00113E23" w:rsidRPr="00B2615A" w:rsidTr="00DF0E1E">
        <w:trPr>
          <w:cantSplit/>
          <w:trHeight w:hRule="exact" w:val="498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CE0A78" w:rsidRDefault="00113E23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 - maksymalnie 60 miesięcy.</w:t>
            </w:r>
          </w:p>
        </w:tc>
        <w:tc>
          <w:tcPr>
            <w:tcW w:w="6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3E23" w:rsidRPr="00B2615A" w:rsidRDefault="00113E23" w:rsidP="00B2615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DF0E1E">
        <w:trPr>
          <w:cantSplit/>
          <w:trHeight w:hRule="exact" w:val="49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CE0A78" w:rsidRDefault="00113E23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6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DF0E1E">
        <w:trPr>
          <w:cantSplit/>
          <w:trHeight w:hRule="exact" w:val="42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CE0A78" w:rsidRDefault="00113E23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5 dni) liczony od momentu podjęcia naprawy.</w:t>
            </w:r>
          </w:p>
        </w:tc>
        <w:tc>
          <w:tcPr>
            <w:tcW w:w="6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DF0E1E">
        <w:trPr>
          <w:cantSplit/>
          <w:trHeight w:hRule="exact" w:val="55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CE0A78" w:rsidRDefault="00113E23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8 dni) liczony od momentu podjęcia naprawy</w:t>
            </w:r>
          </w:p>
        </w:tc>
        <w:tc>
          <w:tcPr>
            <w:tcW w:w="6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DF0E1E">
        <w:trPr>
          <w:cantSplit/>
          <w:trHeight w:hRule="exact" w:val="43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CE0A78" w:rsidRDefault="00113E23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6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0D117D">
        <w:trPr>
          <w:cantSplit/>
          <w:trHeight w:hRule="exact" w:val="83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1E5C5D" w:rsidRDefault="000D117D" w:rsidP="008B47BA">
            <w:pPr>
              <w:autoSpaceDE w:val="0"/>
              <w:rPr>
                <w:rFonts w:ascii="Arial Narrow" w:hAnsi="Arial Narrow" w:cs="Arial"/>
                <w:sz w:val="20"/>
                <w:szCs w:val="20"/>
                <w:highlight w:val="yellow"/>
              </w:rPr>
            </w:pPr>
            <w:r w:rsidRPr="0023205F">
              <w:rPr>
                <w:rFonts w:ascii="Arial Narrow" w:hAnsi="Arial Narrow" w:cs="Arial"/>
                <w:sz w:val="20"/>
                <w:szCs w:val="20"/>
              </w:rPr>
              <w:t>Koszt pełnej obsługi serwisowej w okresie gwarancji, obejmującej wszystkie czynności zapewniające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w</w:t>
            </w:r>
            <w:r w:rsidRPr="0023205F">
              <w:rPr>
                <w:rFonts w:ascii="Arial Narrow" w:hAnsi="Arial Narrow" w:cs="Arial"/>
                <w:sz w:val="20"/>
                <w:szCs w:val="20"/>
              </w:rPr>
              <w:t xml:space="preserve"> 100% użytkowanie sprzętu zgodnie z wymaganiami producenta</w:t>
            </w:r>
            <w:r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23205F">
              <w:rPr>
                <w:rFonts w:ascii="Arial Narrow" w:hAnsi="Arial Narrow" w:cs="Arial"/>
                <w:sz w:val="20"/>
                <w:szCs w:val="20"/>
              </w:rPr>
              <w:t> zawarty w cenie oferowanego urządzenia</w:t>
            </w:r>
          </w:p>
        </w:tc>
        <w:tc>
          <w:tcPr>
            <w:tcW w:w="6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DF0E1E">
        <w:trPr>
          <w:cantSplit/>
          <w:trHeight w:hRule="exact" w:val="54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6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DF0E1E">
        <w:trPr>
          <w:cantSplit/>
          <w:trHeight w:hRule="exact" w:val="75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6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DF0E1E">
        <w:trPr>
          <w:cantSplit/>
          <w:trHeight w:hRule="exact" w:val="526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</w:t>
            </w:r>
            <w:r w:rsidR="00431D22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 min. 5</w:t>
            </w:r>
            <w:r w:rsidRPr="00B2615A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 lat od momentu dostarczenia</w:t>
            </w:r>
            <w:r w:rsidR="00431D22">
              <w:rPr>
                <w:rFonts w:ascii="Arial Narrow" w:hAnsi="Arial Narrow" w:cs="Arial"/>
                <w:sz w:val="20"/>
                <w:szCs w:val="20"/>
                <w:lang w:eastAsia="pl-PL"/>
              </w:rPr>
              <w:t>, umożliwiająca dokonywanie napraw po zakończeniu okresu gwarancji w okresie trwałości projektu</w:t>
            </w:r>
          </w:p>
        </w:tc>
        <w:tc>
          <w:tcPr>
            <w:tcW w:w="6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1B6A27" w:rsidRDefault="001E5C5D" w:rsidP="001E5C5D">
      <w:pPr>
        <w:ind w:left="9912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KWALIFIKOWANY PODPIS WYKOANWCY</w:t>
      </w:r>
    </w:p>
    <w:sectPr w:rsidR="00F87776" w:rsidRPr="001B6A27" w:rsidSect="00BA680F">
      <w:headerReference w:type="default" r:id="rId9"/>
      <w:footerReference w:type="even" r:id="rId10"/>
      <w:footerReference w:type="default" r:id="rId11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2CA8" w:rsidRDefault="001E2CA8" w:rsidP="004845EA">
      <w:r>
        <w:separator/>
      </w:r>
    </w:p>
  </w:endnote>
  <w:endnote w:type="continuationSeparator" w:id="1">
    <w:p w:rsidR="001E2CA8" w:rsidRDefault="001E2CA8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B18" w:rsidRDefault="0086283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82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82B18" w:rsidRDefault="00682B1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B18" w:rsidRPr="001E5C5D" w:rsidRDefault="00862839">
    <w:pPr>
      <w:pStyle w:val="Stopka"/>
      <w:framePr w:wrap="around" w:vAnchor="text" w:hAnchor="margin" w:xAlign="right" w:y="1"/>
      <w:rPr>
        <w:rStyle w:val="Numerstrony"/>
        <w:rFonts w:ascii="Arial Narrow" w:hAnsi="Arial Narrow"/>
        <w:sz w:val="16"/>
        <w:szCs w:val="16"/>
      </w:rPr>
    </w:pPr>
    <w:r w:rsidRPr="001E5C5D">
      <w:rPr>
        <w:rStyle w:val="Numerstrony"/>
        <w:rFonts w:ascii="Arial Narrow" w:hAnsi="Arial Narrow"/>
        <w:sz w:val="16"/>
        <w:szCs w:val="16"/>
      </w:rPr>
      <w:fldChar w:fldCharType="begin"/>
    </w:r>
    <w:r w:rsidR="00682B18" w:rsidRPr="001E5C5D">
      <w:rPr>
        <w:rStyle w:val="Numerstrony"/>
        <w:rFonts w:ascii="Arial Narrow" w:hAnsi="Arial Narrow"/>
        <w:sz w:val="16"/>
        <w:szCs w:val="16"/>
      </w:rPr>
      <w:instrText xml:space="preserve">PAGE  </w:instrText>
    </w:r>
    <w:r w:rsidRPr="001E5C5D">
      <w:rPr>
        <w:rStyle w:val="Numerstrony"/>
        <w:rFonts w:ascii="Arial Narrow" w:hAnsi="Arial Narrow"/>
        <w:sz w:val="16"/>
        <w:szCs w:val="16"/>
      </w:rPr>
      <w:fldChar w:fldCharType="separate"/>
    </w:r>
    <w:r w:rsidR="000D117D">
      <w:rPr>
        <w:rStyle w:val="Numerstrony"/>
        <w:rFonts w:ascii="Arial Narrow" w:hAnsi="Arial Narrow"/>
        <w:noProof/>
        <w:sz w:val="16"/>
        <w:szCs w:val="16"/>
      </w:rPr>
      <w:t>6</w:t>
    </w:r>
    <w:r w:rsidRPr="001E5C5D">
      <w:rPr>
        <w:rStyle w:val="Numerstrony"/>
        <w:rFonts w:ascii="Arial Narrow" w:hAnsi="Arial Narrow"/>
        <w:sz w:val="16"/>
        <w:szCs w:val="16"/>
      </w:rPr>
      <w:fldChar w:fldCharType="end"/>
    </w:r>
  </w:p>
  <w:p w:rsidR="00682B18" w:rsidRPr="001E5C5D" w:rsidRDefault="00682B18" w:rsidP="001E5C5D">
    <w:pPr>
      <w:pStyle w:val="Stopka"/>
      <w:ind w:right="360"/>
      <w:jc w:val="right"/>
      <w:rPr>
        <w:rFonts w:ascii="Arial Narrow" w:hAnsi="Arial Narrow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2CA8" w:rsidRDefault="001E2CA8" w:rsidP="004845EA">
      <w:r>
        <w:separator/>
      </w:r>
    </w:p>
  </w:footnote>
  <w:footnote w:type="continuationSeparator" w:id="1">
    <w:p w:rsidR="001E2CA8" w:rsidRDefault="001E2CA8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B18" w:rsidRDefault="00682B18" w:rsidP="00DB3882">
    <w:pPr>
      <w:pStyle w:val="Nagwek"/>
      <w:tabs>
        <w:tab w:val="clear" w:pos="4536"/>
        <w:tab w:val="clear" w:pos="9072"/>
        <w:tab w:val="left" w:pos="12060"/>
      </w:tabs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ab/>
    </w:r>
    <w:r w:rsidR="001E5C5D">
      <w:rPr>
        <w:rFonts w:ascii="Arial Narrow" w:hAnsi="Arial Narrow"/>
        <w:sz w:val="22"/>
      </w:rPr>
      <w:t>Załącznik nr 6L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19201801"/>
    <w:multiLevelType w:val="hybridMultilevel"/>
    <w:tmpl w:val="0EBCB712"/>
    <w:lvl w:ilvl="0" w:tplc="0415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5">
    <w:nsid w:val="1B3A398C"/>
    <w:multiLevelType w:val="hybridMultilevel"/>
    <w:tmpl w:val="E28E1C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FB5936"/>
    <w:multiLevelType w:val="hybridMultilevel"/>
    <w:tmpl w:val="540E11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D401B3"/>
    <w:multiLevelType w:val="hybridMultilevel"/>
    <w:tmpl w:val="C6924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BE7DCF"/>
    <w:multiLevelType w:val="hybridMultilevel"/>
    <w:tmpl w:val="635C59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292F19"/>
    <w:multiLevelType w:val="hybridMultilevel"/>
    <w:tmpl w:val="101E9A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F45A64"/>
    <w:multiLevelType w:val="hybridMultilevel"/>
    <w:tmpl w:val="0AF257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C918EF"/>
    <w:multiLevelType w:val="hybridMultilevel"/>
    <w:tmpl w:val="3940D7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4040BD0"/>
    <w:multiLevelType w:val="hybridMultilevel"/>
    <w:tmpl w:val="98742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B9292F"/>
    <w:multiLevelType w:val="hybridMultilevel"/>
    <w:tmpl w:val="76D67E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6E67238"/>
    <w:multiLevelType w:val="hybridMultilevel"/>
    <w:tmpl w:val="2230D5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6">
    <w:nsid w:val="6EAB6E39"/>
    <w:multiLevelType w:val="hybridMultilevel"/>
    <w:tmpl w:val="AF668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F2D6845"/>
    <w:multiLevelType w:val="hybridMultilevel"/>
    <w:tmpl w:val="D6F2B9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08B541E"/>
    <w:multiLevelType w:val="hybridMultilevel"/>
    <w:tmpl w:val="8F9250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A2C3DAA"/>
    <w:multiLevelType w:val="hybridMultilevel"/>
    <w:tmpl w:val="DA9C30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12"/>
  </w:num>
  <w:num w:numId="7">
    <w:abstractNumId w:val="5"/>
  </w:num>
  <w:num w:numId="8">
    <w:abstractNumId w:val="6"/>
  </w:num>
  <w:num w:numId="9">
    <w:abstractNumId w:val="17"/>
  </w:num>
  <w:num w:numId="10">
    <w:abstractNumId w:val="18"/>
  </w:num>
  <w:num w:numId="11">
    <w:abstractNumId w:val="10"/>
  </w:num>
  <w:num w:numId="12">
    <w:abstractNumId w:val="7"/>
  </w:num>
  <w:num w:numId="13">
    <w:abstractNumId w:val="9"/>
  </w:num>
  <w:num w:numId="14">
    <w:abstractNumId w:val="16"/>
  </w:num>
  <w:num w:numId="15">
    <w:abstractNumId w:val="8"/>
  </w:num>
  <w:num w:numId="16">
    <w:abstractNumId w:val="14"/>
  </w:num>
  <w:num w:numId="17">
    <w:abstractNumId w:val="19"/>
  </w:num>
  <w:num w:numId="18">
    <w:abstractNumId w:val="11"/>
  </w:num>
  <w:num w:numId="19">
    <w:abstractNumId w:val="4"/>
  </w:num>
  <w:num w:numId="20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1212A"/>
    <w:rsid w:val="00025C77"/>
    <w:rsid w:val="000322B8"/>
    <w:rsid w:val="00047390"/>
    <w:rsid w:val="0005668E"/>
    <w:rsid w:val="0005755D"/>
    <w:rsid w:val="00073CEE"/>
    <w:rsid w:val="00077D92"/>
    <w:rsid w:val="000C484C"/>
    <w:rsid w:val="000C7F7D"/>
    <w:rsid w:val="000D117D"/>
    <w:rsid w:val="000E03CB"/>
    <w:rsid w:val="000F09AA"/>
    <w:rsid w:val="00113058"/>
    <w:rsid w:val="00113E23"/>
    <w:rsid w:val="00114B09"/>
    <w:rsid w:val="00116786"/>
    <w:rsid w:val="00121A08"/>
    <w:rsid w:val="00121F55"/>
    <w:rsid w:val="00126160"/>
    <w:rsid w:val="00143064"/>
    <w:rsid w:val="00146128"/>
    <w:rsid w:val="00157765"/>
    <w:rsid w:val="001A3016"/>
    <w:rsid w:val="001B6A27"/>
    <w:rsid w:val="001C507C"/>
    <w:rsid w:val="001D3DA9"/>
    <w:rsid w:val="001D5CE1"/>
    <w:rsid w:val="001E2CA8"/>
    <w:rsid w:val="001E3FF9"/>
    <w:rsid w:val="001E5C5D"/>
    <w:rsid w:val="001F4100"/>
    <w:rsid w:val="00200756"/>
    <w:rsid w:val="002058CE"/>
    <w:rsid w:val="00222F93"/>
    <w:rsid w:val="00237EBA"/>
    <w:rsid w:val="0025042F"/>
    <w:rsid w:val="002539DD"/>
    <w:rsid w:val="00260099"/>
    <w:rsid w:val="0028054C"/>
    <w:rsid w:val="0028328C"/>
    <w:rsid w:val="00294705"/>
    <w:rsid w:val="0029780E"/>
    <w:rsid w:val="002A658E"/>
    <w:rsid w:val="002B7E5C"/>
    <w:rsid w:val="002D6B1A"/>
    <w:rsid w:val="002F1034"/>
    <w:rsid w:val="002F1129"/>
    <w:rsid w:val="002F7F00"/>
    <w:rsid w:val="003005F9"/>
    <w:rsid w:val="00315E05"/>
    <w:rsid w:val="00321F18"/>
    <w:rsid w:val="0033360C"/>
    <w:rsid w:val="00333E8F"/>
    <w:rsid w:val="00340DDE"/>
    <w:rsid w:val="003527B5"/>
    <w:rsid w:val="003561CF"/>
    <w:rsid w:val="00371915"/>
    <w:rsid w:val="00374ACF"/>
    <w:rsid w:val="0038515D"/>
    <w:rsid w:val="00391BAB"/>
    <w:rsid w:val="00393C10"/>
    <w:rsid w:val="003A2D88"/>
    <w:rsid w:val="003B2C01"/>
    <w:rsid w:val="003B4C8B"/>
    <w:rsid w:val="003B59C7"/>
    <w:rsid w:val="003C7ED6"/>
    <w:rsid w:val="003D2C4E"/>
    <w:rsid w:val="003D506E"/>
    <w:rsid w:val="00411422"/>
    <w:rsid w:val="004140EF"/>
    <w:rsid w:val="00431D22"/>
    <w:rsid w:val="00433E3D"/>
    <w:rsid w:val="004346E6"/>
    <w:rsid w:val="004369F7"/>
    <w:rsid w:val="00450E33"/>
    <w:rsid w:val="004845EA"/>
    <w:rsid w:val="004B0CC1"/>
    <w:rsid w:val="004B4B63"/>
    <w:rsid w:val="004B5737"/>
    <w:rsid w:val="004C00BC"/>
    <w:rsid w:val="004E6266"/>
    <w:rsid w:val="004F1D59"/>
    <w:rsid w:val="004F60B4"/>
    <w:rsid w:val="004F7BB1"/>
    <w:rsid w:val="005056AC"/>
    <w:rsid w:val="00506A82"/>
    <w:rsid w:val="0051288E"/>
    <w:rsid w:val="005255C5"/>
    <w:rsid w:val="00525D8D"/>
    <w:rsid w:val="0052789D"/>
    <w:rsid w:val="00530E8B"/>
    <w:rsid w:val="00545413"/>
    <w:rsid w:val="00552152"/>
    <w:rsid w:val="0055517C"/>
    <w:rsid w:val="0057334F"/>
    <w:rsid w:val="0058291D"/>
    <w:rsid w:val="0059752D"/>
    <w:rsid w:val="005A0ED6"/>
    <w:rsid w:val="005A5A60"/>
    <w:rsid w:val="005B28BD"/>
    <w:rsid w:val="005B29D0"/>
    <w:rsid w:val="005B5BB8"/>
    <w:rsid w:val="005C5C64"/>
    <w:rsid w:val="005D3FED"/>
    <w:rsid w:val="005D7755"/>
    <w:rsid w:val="005F6E5F"/>
    <w:rsid w:val="006030CC"/>
    <w:rsid w:val="006077B6"/>
    <w:rsid w:val="00615496"/>
    <w:rsid w:val="00632DB1"/>
    <w:rsid w:val="0063325A"/>
    <w:rsid w:val="00641C2C"/>
    <w:rsid w:val="00646E3A"/>
    <w:rsid w:val="006513D7"/>
    <w:rsid w:val="00664308"/>
    <w:rsid w:val="00672F21"/>
    <w:rsid w:val="0067442B"/>
    <w:rsid w:val="00682B18"/>
    <w:rsid w:val="006848E7"/>
    <w:rsid w:val="0069176A"/>
    <w:rsid w:val="006922CA"/>
    <w:rsid w:val="006A19EA"/>
    <w:rsid w:val="006C4707"/>
    <w:rsid w:val="006E034F"/>
    <w:rsid w:val="006E12D2"/>
    <w:rsid w:val="006F0DA9"/>
    <w:rsid w:val="00723F82"/>
    <w:rsid w:val="00730B19"/>
    <w:rsid w:val="00731F17"/>
    <w:rsid w:val="00762EAA"/>
    <w:rsid w:val="00791DD0"/>
    <w:rsid w:val="007A253C"/>
    <w:rsid w:val="007A6BB7"/>
    <w:rsid w:val="007B78B4"/>
    <w:rsid w:val="007E1FB8"/>
    <w:rsid w:val="007F5797"/>
    <w:rsid w:val="007F700C"/>
    <w:rsid w:val="008117CD"/>
    <w:rsid w:val="00817993"/>
    <w:rsid w:val="008205F2"/>
    <w:rsid w:val="00836C82"/>
    <w:rsid w:val="008521A6"/>
    <w:rsid w:val="00854B8D"/>
    <w:rsid w:val="00862839"/>
    <w:rsid w:val="008642E3"/>
    <w:rsid w:val="00864487"/>
    <w:rsid w:val="008808F8"/>
    <w:rsid w:val="00880CE2"/>
    <w:rsid w:val="008845A7"/>
    <w:rsid w:val="00893E37"/>
    <w:rsid w:val="0089444B"/>
    <w:rsid w:val="008B47BA"/>
    <w:rsid w:val="008C1554"/>
    <w:rsid w:val="008D5D80"/>
    <w:rsid w:val="008E2847"/>
    <w:rsid w:val="008E2A03"/>
    <w:rsid w:val="008F264D"/>
    <w:rsid w:val="008F2B12"/>
    <w:rsid w:val="00905690"/>
    <w:rsid w:val="009077B6"/>
    <w:rsid w:val="009130B6"/>
    <w:rsid w:val="00920358"/>
    <w:rsid w:val="00927414"/>
    <w:rsid w:val="009348A9"/>
    <w:rsid w:val="009375BB"/>
    <w:rsid w:val="00950CA3"/>
    <w:rsid w:val="009573C1"/>
    <w:rsid w:val="009620F5"/>
    <w:rsid w:val="00965CB6"/>
    <w:rsid w:val="00976AB0"/>
    <w:rsid w:val="00996C96"/>
    <w:rsid w:val="009B3952"/>
    <w:rsid w:val="009B4A03"/>
    <w:rsid w:val="009B6FB8"/>
    <w:rsid w:val="009C28EE"/>
    <w:rsid w:val="009C488F"/>
    <w:rsid w:val="009C57FF"/>
    <w:rsid w:val="009D0605"/>
    <w:rsid w:val="009D3056"/>
    <w:rsid w:val="009D3148"/>
    <w:rsid w:val="009F580C"/>
    <w:rsid w:val="00A33060"/>
    <w:rsid w:val="00A67A93"/>
    <w:rsid w:val="00A9171F"/>
    <w:rsid w:val="00AA1593"/>
    <w:rsid w:val="00AA75DA"/>
    <w:rsid w:val="00AB0DB0"/>
    <w:rsid w:val="00AB3DFA"/>
    <w:rsid w:val="00AC0561"/>
    <w:rsid w:val="00AC2A81"/>
    <w:rsid w:val="00AD0C91"/>
    <w:rsid w:val="00AD7578"/>
    <w:rsid w:val="00AD777D"/>
    <w:rsid w:val="00AD7FA7"/>
    <w:rsid w:val="00AE38BA"/>
    <w:rsid w:val="00AF2877"/>
    <w:rsid w:val="00B15658"/>
    <w:rsid w:val="00B2615A"/>
    <w:rsid w:val="00B37498"/>
    <w:rsid w:val="00B47DD7"/>
    <w:rsid w:val="00B71D3A"/>
    <w:rsid w:val="00BA680F"/>
    <w:rsid w:val="00BB127B"/>
    <w:rsid w:val="00BC2D44"/>
    <w:rsid w:val="00BF2597"/>
    <w:rsid w:val="00C14F51"/>
    <w:rsid w:val="00C33C4F"/>
    <w:rsid w:val="00C375C6"/>
    <w:rsid w:val="00C4344C"/>
    <w:rsid w:val="00C55CC2"/>
    <w:rsid w:val="00C672D0"/>
    <w:rsid w:val="00C7558F"/>
    <w:rsid w:val="00C763A0"/>
    <w:rsid w:val="00C923AC"/>
    <w:rsid w:val="00C93649"/>
    <w:rsid w:val="00C95672"/>
    <w:rsid w:val="00C96D5F"/>
    <w:rsid w:val="00CA4DA8"/>
    <w:rsid w:val="00CB1025"/>
    <w:rsid w:val="00CB2AE0"/>
    <w:rsid w:val="00CB683F"/>
    <w:rsid w:val="00CC2331"/>
    <w:rsid w:val="00CD5830"/>
    <w:rsid w:val="00CE0A07"/>
    <w:rsid w:val="00CE0A78"/>
    <w:rsid w:val="00CF2621"/>
    <w:rsid w:val="00CF6535"/>
    <w:rsid w:val="00D04817"/>
    <w:rsid w:val="00D1101C"/>
    <w:rsid w:val="00D13B8F"/>
    <w:rsid w:val="00D23C37"/>
    <w:rsid w:val="00D34851"/>
    <w:rsid w:val="00D4499D"/>
    <w:rsid w:val="00D4776A"/>
    <w:rsid w:val="00D63965"/>
    <w:rsid w:val="00DA0D28"/>
    <w:rsid w:val="00DA42CE"/>
    <w:rsid w:val="00DB21C6"/>
    <w:rsid w:val="00DB3882"/>
    <w:rsid w:val="00DB39C5"/>
    <w:rsid w:val="00DC5F27"/>
    <w:rsid w:val="00DC69ED"/>
    <w:rsid w:val="00DD22A5"/>
    <w:rsid w:val="00DD351C"/>
    <w:rsid w:val="00DF0E1E"/>
    <w:rsid w:val="00DF2AF1"/>
    <w:rsid w:val="00DF488C"/>
    <w:rsid w:val="00DF6DBA"/>
    <w:rsid w:val="00DF71DF"/>
    <w:rsid w:val="00E05144"/>
    <w:rsid w:val="00E123E4"/>
    <w:rsid w:val="00E50CD1"/>
    <w:rsid w:val="00E52DF7"/>
    <w:rsid w:val="00E53A8E"/>
    <w:rsid w:val="00E56F64"/>
    <w:rsid w:val="00E66915"/>
    <w:rsid w:val="00E762D8"/>
    <w:rsid w:val="00E92C2F"/>
    <w:rsid w:val="00E94A1F"/>
    <w:rsid w:val="00E96A35"/>
    <w:rsid w:val="00EB51A3"/>
    <w:rsid w:val="00EC366B"/>
    <w:rsid w:val="00EC36D0"/>
    <w:rsid w:val="00EE0425"/>
    <w:rsid w:val="00F01162"/>
    <w:rsid w:val="00F03450"/>
    <w:rsid w:val="00F040BC"/>
    <w:rsid w:val="00F220B0"/>
    <w:rsid w:val="00F2610F"/>
    <w:rsid w:val="00F46F87"/>
    <w:rsid w:val="00F50B2F"/>
    <w:rsid w:val="00F55634"/>
    <w:rsid w:val="00F5627C"/>
    <w:rsid w:val="00F77582"/>
    <w:rsid w:val="00F85592"/>
    <w:rsid w:val="00F87776"/>
    <w:rsid w:val="00F878E3"/>
    <w:rsid w:val="00F9150E"/>
    <w:rsid w:val="00F91817"/>
    <w:rsid w:val="00F97014"/>
    <w:rsid w:val="00F97E0B"/>
    <w:rsid w:val="00FB1FC6"/>
    <w:rsid w:val="00FC6728"/>
    <w:rsid w:val="00FF018C"/>
    <w:rsid w:val="00FF24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  <w:style w:type="paragraph" w:customStyle="1" w:styleId="Zawartotabeli">
    <w:name w:val="Zawartość tabeli"/>
    <w:basedOn w:val="Normalny"/>
    <w:qFormat/>
    <w:rsid w:val="0067442B"/>
    <w:pPr>
      <w:widowControl/>
      <w:suppressLineNumbers/>
      <w:suppressAutoHyphens w:val="0"/>
      <w:autoSpaceDN/>
      <w:textAlignment w:val="auto"/>
    </w:pPr>
    <w:rPr>
      <w:rFonts w:ascii="Liberation Serif" w:hAnsi="Liberation Serif"/>
      <w:color w:val="00000A"/>
      <w:kern w:val="0"/>
      <w:lang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4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6FCEB7-310D-45C3-A213-EFD481640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2308</Words>
  <Characters>13854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cp:lastPrinted>2024-02-28T06:20:00Z</cp:lastPrinted>
  <dcterms:created xsi:type="dcterms:W3CDTF">2026-02-24T11:23:00Z</dcterms:created>
  <dcterms:modified xsi:type="dcterms:W3CDTF">2026-02-24T11:23:00Z</dcterms:modified>
</cp:coreProperties>
</file>