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222C67" w:rsidP="00E50CD1">
      <w:pPr>
        <w:rPr>
          <w:rFonts w:ascii="Arial" w:hAnsi="Arial" w:cs="Arial"/>
          <w:b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9777730" cy="1016635"/>
            <wp:effectExtent l="0" t="0" r="0" b="0"/>
            <wp:docPr id="5344309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DF0E1E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Zestawy pomp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DF0E1E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8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F01162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222C67" w:rsidP="00222C67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SPECYFIKACJA TECHNICZNA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3"/>
        <w:gridCol w:w="9638"/>
        <w:gridCol w:w="2033"/>
        <w:gridCol w:w="2750"/>
      </w:tblGrid>
      <w:tr w:rsidR="00E50CD1" w:rsidRPr="00B2615A" w:rsidTr="00DF0E1E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DF0E1E" w:rsidRPr="00B2615A" w:rsidTr="00DF0E1E">
        <w:trPr>
          <w:cantSplit/>
          <w:trHeight w:val="37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DF0E1E">
            <w:pPr>
              <w:rPr>
                <w:rFonts w:ascii="Arial Narrow" w:hAnsi="Arial Narrow" w:cs="Arial"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b/>
                <w:sz w:val="20"/>
                <w:szCs w:val="20"/>
              </w:rPr>
              <w:t>Pompa infuzyjna strzykawkowa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 xml:space="preserve"> – 48 sztuk</w:t>
            </w:r>
          </w:p>
        </w:tc>
      </w:tr>
      <w:tr w:rsidR="00F01162" w:rsidRPr="00B2615A" w:rsidTr="00DF0E1E">
        <w:trPr>
          <w:cantSplit/>
          <w:trHeight w:val="8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78588D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strzykawkowa sterowana elektronicznie przeznaczona do stosowania u dorosłychdo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Zasilanie 230V 50 Hz, bezpośrednio z sieci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1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Klasa ochronności II lub równoważna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color w:val="auto"/>
                <w:sz w:val="20"/>
                <w:szCs w:val="20"/>
              </w:rPr>
              <w:t>Masa pompy gotowej do użycia poniżej 2 kg</w:t>
            </w:r>
            <w:r w:rsidR="0058291D">
              <w:rPr>
                <w:rFonts w:ascii="Arial Narrow" w:hAnsi="Arial Narrow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Przestrzeń zajmowana przez pompę: nie większa, niż 3 200 cm</w:t>
            </w:r>
            <w:r w:rsidRPr="00F01162">
              <w:rPr>
                <w:rFonts w:ascii="Arial Narrow" w:hAnsi="Arial Narrow" w:cs="Arial"/>
                <w:sz w:val="20"/>
                <w:szCs w:val="20"/>
                <w:vertAlign w:val="superscript"/>
              </w:rPr>
              <w:t>3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przy schowanym napędzie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Dokładność podaży +/- 2%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strzykawki.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Stopień ochrony IP 44 lub równoważny, chroniący przed bryzgami wody z dowolnego kierunku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Opcjonalnie odłączalny zatrzaskowo uchwyt do mocowania pompy do stojaków infuzyjnych, oraz szyn poziomych. Zakres regulacji min. 20-40mm.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4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Strzykawka automatycznie mocowana od przodu, chroniona przed drzwiczki pompy; Mechanizm blokujący tłok strzykawki, zabezpieczający  przedswobodnym  niekontrolowanym przepływem działający niezależnie od położenia głowicy napędowej w stosunku do tłoka strzykawki. Aktualny status strzykawki wyświetlany na ekranie pompy w formie graficznej.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156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5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informatycznego w standardzie HL7-IHE; Pompa wyposażona w bufor do przechowania inf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Pompy wyposażone w funkcję automatycznego przejmowania infuzji przez kolejną pompę natychmiast po zakończeniu infuzji w poprzedniej: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 xml:space="preserve">- podjęcie infuzji przez  pompę przejmującą bez konieczności naciskania przycisku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START ani jakiegokolwiek innego,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w obu pompach konieczność użycia strzykawek o tej samej pojemności ale mo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gą być różnych producentów,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pompy podczas pracy w trybie przejęcia są czytelnie opisane symbolami jednoznacznie wskazującymi która pompa prowadzi infuzję a która oczekuje na podjęcie pracy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br/>
              <w:t>- programowanie pracy w trybie przejęcie odbywa się z pozycji ekranu dotykowego pompy, wykluczając ryzyko pomyłki zaprogramowania niewłaściwej pompy.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Zakres prędkości infuzji min. 0,01 do 1800 ml/h ; Zmiana prędkości podaży bez przerywania infuzji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wybierana objętość w zakresie 0,01 - 9999 ml, w zakresie 0,01 ml — 99,99 ml programowana w krokach co 0,01 ml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8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7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Bolus: Prędkość bolusa możliwa do zaprog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ramowania w zakresie1-1800 ml/h.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Tryby bolusa: Bolus na żądanie; Bolus programowany z automa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tyczną ka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0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2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0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etlenia na 9 poziomach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107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58291D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>wością wpisu min. 10000 leków, z możliwością podzielenia na min. 30 k</w:t>
            </w:r>
            <w:r>
              <w:rPr>
                <w:rFonts w:ascii="Arial Narrow" w:hAnsi="Arial Narrow" w:cs="Arial"/>
                <w:sz w:val="20"/>
                <w:szCs w:val="20"/>
              </w:rPr>
              <w:t>ategorii i 15 profili pacjentów.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Każdy lek może być powiązany z limitami miękkimi, z limitami twardymi, oraz kolorowymi etykietami - min. 30 k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ombinacji kolorystycznych.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pieniu dowolnego alarmu.</w:t>
            </w:r>
            <w:r w:rsidR="00F01162" w:rsidRPr="00F01162">
              <w:rPr>
                <w:rFonts w:ascii="Arial Narrow" w:hAnsi="Arial Narrow" w:cs="Arial"/>
                <w:sz w:val="20"/>
                <w:szCs w:val="20"/>
              </w:rPr>
              <w:t xml:space="preserve"> Możliwość wprowadzenia do pompy biblioteki leków bezpośrednio z komputera, lub zdalnie poprzez sieć szpitalną z centralnego serwera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5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Możliwość opcjonalnego rozszerzenia funkcjonalności pompy strzykawkowej o tryb TCI dla Propofolu, Remifentanylu i Sufentanylu, realizowanego przy użyciu algorytmu opartego na trójkompartmentowym modelu farmakokinetycznym. </w:t>
            </w:r>
            <w:r w:rsidRPr="00DF0E1E">
              <w:rPr>
                <w:rFonts w:ascii="Arial Narrow" w:hAnsi="Arial Narrow" w:cs="Arial"/>
                <w:sz w:val="20"/>
                <w:szCs w:val="20"/>
              </w:rPr>
              <w:t>Dostępne modele: March, Schnider, Eleveld, Minto, Gepts</w:t>
            </w:r>
            <w:r w:rsidR="0058291D" w:rsidRPr="00DF0E1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Na ekranie pompy stale dostępna informacja o obecnym stężeniu w osoczu oraz obecnym stężeniu w miejscu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Wizualizacja graficzna stanu znieczulenia dwoma różnymi kolorami, innymi dla osocza i miejsca oddziaływania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60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DF0E1E">
              <w:rPr>
                <w:rFonts w:ascii="Arial Narrow" w:hAnsi="Arial Narrow" w:cs="Arial"/>
                <w:sz w:val="20"/>
                <w:szCs w:val="20"/>
              </w:rPr>
              <w:t xml:space="preserve">w zakresie od 75 do 900 mmHg. 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Ws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F0116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83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Zasilanie z wbudowanego akumulatora ok. 10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 godz. przy przepływie 25 ml/h.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Czas p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onownego ładowania ok. 5 godz.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Na wyświetlaczu widoczna precyzyjna informacja o pozostałym czasie pracy aku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Automatyczne łado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Pobór mocy w normalnych warunkach pracy ok. 4 W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EE0425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y system alarmów wizualnych i dź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więkowych.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58291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F01162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01162" w:rsidRPr="00B2615A" w:rsidTr="00DF0E1E">
        <w:trPr>
          <w:cantSplit/>
          <w:trHeight w:val="54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F01162" w:rsidRDefault="00F01162" w:rsidP="00F0116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01162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EE042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Default="00EE04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01162" w:rsidRPr="00B2615A" w:rsidRDefault="00F0116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F0E1E" w:rsidRPr="00B2615A" w:rsidTr="00DF0E1E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B2615A" w:rsidRDefault="00DF0E1E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F0E1E" w:rsidRPr="00DF0E1E" w:rsidRDefault="00DF0E1E" w:rsidP="00DF0E1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b/>
                <w:sz w:val="20"/>
                <w:szCs w:val="20"/>
              </w:rPr>
              <w:t>Pompa infuzyjna objętościowa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 xml:space="preserve"> – 16 sztuk</w:t>
            </w: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682B18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objętościowa sterowana elektronicznie przeznaczona do stosowania u dorosłych</w:t>
            </w:r>
            <w:r w:rsidR="005F4E9B" w:rsidRPr="005F4E9B">
              <w:rPr>
                <w:rFonts w:ascii="Arial Narrow" w:hAnsi="Arial Narrow" w:cs="Arial"/>
                <w:sz w:val="20"/>
                <w:szCs w:val="20"/>
              </w:rPr>
              <w:t>dzieci i noworodków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F0E1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Zasilanie 230V 50 Hz, bezpośrednio z sieci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Klasa ochronności II lub równoważna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Masa pompy gotowej do użycia poniżej 2 kg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Wymiary pompy (Szer. x Wys. x Gł.)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Dokładność podaży +/- 3%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Menu pompy w języku polskim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Instrukcja obsługi zaimplemetnowana w menu pompy, ułatwiająca obsługę urządzenia podczas zakładania linii jednorazowej.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Stopień ochrony IP 44 lub równoważny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Kolorowy wyświetlacz 5", umożliwiający pełne dotykowe sterowanie i obsługę pompy; Wysoka rozdzielczość wyświetlanych informacji, min. 800x240 punktów.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Wbudowan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y uchwyt do przenoszenia pompy.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Możliwość łączenia pomp w moduły i przenoszenia bez użycia stacji dokującej 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-  3 pompy na jednym uchwycie.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Opcjonalnie odłączalny zatrzaskowo uchwyt do mocowania pompy do stojaków infuzyjnych, oraz szyn poziomych. Zakres regulacji min. 20-40mm.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682B18">
        <w:trPr>
          <w:cantSplit/>
          <w:trHeight w:val="59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Linia infuzyjna mocowana od przodu, c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 xml:space="preserve">hroniona przed drzwiczki pompy.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Mechanizm zabezpieczający  przedswobodnym  niekontrolowanym przepływem składający się z dwóch elementów – jeden w pompie jeden na drenie.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Dostępne linie infuzyjne do szerokiego spektrum terapii: podstawowe bezbarwne, chroniące przed światłem, do transfuzji, do terapii przeciwbólowych pracujące w systemie NRFit, do antybiotykoterapii, wielodrożne do onkologii pracujące w systemie zamkniętym, oraz dojelitowe pracujące w systemie ENFit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Zatrzaskowe mocowanie w stacji dokującej, bez konieczności przykręcania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Komunikacja pomiędzy pompą a stacja dokującą odbywa się za pośrednictwem IrDA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Mbit/s, 802.11b (DSSS, CCK): 1/2/5.5/11 Mbit/s, 802.11g (OFDM): 6/9/12/18/24/36/48/54 Mbit/s 802.11n (OFDM, HT20, MCS 0-15):Full guard interval: 6.5/13/19.5/26/39/52/58.5/65/78/104/117 Mbit/s, Short guard interval: 1.2/14.4/21.7/28.9/29.9/43.3/57.8/65/72.2/86.7/115.6/130/144.4 Mbit/s; Standardy bezpieczeństwa: Wireless Equivalent Privacy (WEP), Wi-Fi Protected Access (WPA), IEEE 802.11i (WPA2),FIPS 140-2 Level 1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682B18">
        <w:trPr>
          <w:cantSplit/>
          <w:trHeight w:val="63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Pompa przygotowana do podłączenia do szpitalnego systemu informa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tycznego w standardzie HL7-IHE.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Pompa wyposażona w bufor do przechowania inf</w:t>
            </w:r>
            <w:r w:rsidR="00682B18">
              <w:rPr>
                <w:rFonts w:ascii="Arial Narrow" w:hAnsi="Arial Narrow" w:cs="Arial"/>
                <w:sz w:val="20"/>
                <w:szCs w:val="20"/>
              </w:rPr>
              <w:t>ormacji w przypadku utraty łącz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ności. Całość komunikacji szyfrowana na zasadzie end-to-end.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,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Zakres prędkości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infuzji min. 0,1 do 1200 ml/h.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Zmiana prędkości podaży bez przerywania infuzji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Wstępnie wybierana objętość w zakresie 0,10 - 9999 ml , w zakresie co najmniej 0,10 ml — 99,99 ml programowana w krokach co 0,01 ml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Wstępnie wybierany czas w zakresie 00h01min - 99h59min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Automatyczna kalkulacja prędkości podaży po wprowadzeniu objętości i czasu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programowania parametrów infuzji w mg, mcg, ng, IE, mmol, lub mEq ,z uwzględnieniem lub nie masy ciała w odniesieniu do czasu ( np. mg/kg/min; mg/kg/h; mg/kg/24h)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System automatycznej redukcji bolusa po alarmie ciśnienia okluzji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Bolus: Prędkość bolusa możliwa do zaprogramowania w zakresie 1-1200 ml/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h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Tryby bolusa: Bolus na żądanie; Bolu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s programowany z automatyczną ka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lkulacją prędkości po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wprowadzeniu objętości i czasu.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podaży bolusa w jednostkach mg, mcg, mmol, mEq oraz jednostkach wagowych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89444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ryb stand-by w zakresie od 1 min do 24 godzin z programowaniem co 1 minutę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Regulacja intensywności podśw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etlenia na min. 8 poziomach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D4499D">
        <w:trPr>
          <w:cantSplit/>
          <w:trHeight w:val="105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D4499D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Biblioteka leków z możli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wością wpisu min.10000 leków, z możliwością podzielenia na min. 30 kategorii i 15 profili pacjentów; Każdy lek może być powiązany z limitami miękkimi, z limitami twardymi, oraz kolorowymi etykietami - min. 30 kombinacji kolorystycznych; Nazwa leku stale widoczna na wyśw</w:t>
            </w:r>
            <w:r>
              <w:rPr>
                <w:rFonts w:ascii="Arial Narrow" w:hAnsi="Arial Narrow" w:cs="Arial"/>
                <w:sz w:val="20"/>
                <w:szCs w:val="20"/>
              </w:rPr>
              <w:t>ietlaczu pompy, również po wystą</w:t>
            </w:r>
            <w:r w:rsidR="000E03CB" w:rsidRPr="000E03CB">
              <w:rPr>
                <w:rFonts w:ascii="Arial Narrow" w:hAnsi="Arial Narrow" w:cs="Arial"/>
                <w:sz w:val="20"/>
                <w:szCs w:val="20"/>
              </w:rPr>
              <w:t>pieniu dowolnego alarmu; Możliwość wprowadzenia do pompy biblioteki leków bezpośrednio z komputera, lub zdalnie poprzez sieć szpitalną z centralnego serwera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Ciśnienie okluzji możliwe do ustawienia na min. 9 poziomach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 zakresie od 50 do 825 mmHg; Ws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kaźnik ciśnienia okluzji stale widoczny na wyświetlaczu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Wbudow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any akumulator litowo – jonowy.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Zasilanie z wbudowanego akumulatora ok. 6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godz. przy przepływie 100 ml/h.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Czas 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ponownego ładowania ok. 5 godz.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 Na wyświetlaczu widoczna precyzyjna informacja o pozostałym czasie pracy aku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 xml:space="preserve">mulatora w godzinach i minutach. 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Automatyczne łado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wanie akumulatora w pompie podłą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>czonej do zasilania sieciowego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Pobór mocy w normalnych warunkach pracy ok. 6 W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Rozbudowan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y system alarmów wizualnych i dźwiękowych.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Czułość techniczna wykrywania pęcherzyków powietrza≥ 0.01 mL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Historia pracy dost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ępna z menu pompy, z możliwością</w:t>
            </w:r>
            <w:r w:rsidRPr="000E03CB">
              <w:rPr>
                <w:rFonts w:ascii="Arial Narrow" w:hAnsi="Arial Narrow" w:cs="Arial"/>
                <w:sz w:val="20"/>
                <w:szCs w:val="20"/>
              </w:rPr>
              <w:t xml:space="preserve"> zapisania do 1000 zdarzeń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E03CB" w:rsidRPr="00B2615A" w:rsidTr="000E03CB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B2615A" w:rsidRDefault="000E03C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03CB" w:rsidRPr="000E03CB" w:rsidRDefault="000E03CB" w:rsidP="000E03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03CB">
              <w:rPr>
                <w:rFonts w:ascii="Arial Narrow" w:hAnsi="Arial Narrow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  <w:r w:rsidR="00D4499D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CB" w:rsidRPr="00DF0E1E" w:rsidRDefault="000E03CB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03CB" w:rsidRPr="00DF0E1E" w:rsidRDefault="000E03CB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4499D" w:rsidRPr="00B2615A" w:rsidTr="00D4499D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499D" w:rsidRPr="00B2615A" w:rsidRDefault="00D4499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851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4499D" w:rsidRPr="00D4499D" w:rsidRDefault="00D4499D" w:rsidP="001E1E74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4499D">
              <w:rPr>
                <w:rFonts w:ascii="Arial Narrow" w:hAnsi="Arial Narrow" w:cs="Arial"/>
                <w:b/>
                <w:sz w:val="20"/>
                <w:szCs w:val="20"/>
              </w:rPr>
              <w:t>Stacja dokująca</w:t>
            </w:r>
            <w:r w:rsidR="0089444B">
              <w:rPr>
                <w:rFonts w:ascii="Arial Narrow" w:hAnsi="Arial Narrow" w:cs="Arial"/>
                <w:b/>
                <w:sz w:val="20"/>
                <w:szCs w:val="20"/>
              </w:rPr>
              <w:t xml:space="preserve"> –</w:t>
            </w:r>
            <w:r w:rsidR="001E1E74">
              <w:rPr>
                <w:rFonts w:ascii="Arial Narrow" w:hAnsi="Arial Narrow" w:cs="Arial"/>
                <w:b/>
                <w:sz w:val="20"/>
                <w:szCs w:val="20"/>
              </w:rPr>
              <w:t>8 sztuk</w:t>
            </w: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Moduł stacji dokujących dla pomp strzykawkowych i objętościowych umożliwiająca zasilanie wszystkich podłączonych pomp jednym p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rzewodem zasilającym - pojemność</w:t>
            </w:r>
            <w:r w:rsidR="00B932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min. 8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pomp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Zasilanie 230V 50 Hz, bezpośrednio z sieci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Klasa ochronności I lub równoważna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Ze względów bezpieczeństwa wszystkie złącza zasilania są wyłączone do momentu włożenia pompy.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Waga modułu stacji dokujących dla 8 pomp poniżej 9 kg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Wymiary modułu stacji dokujących razem z pokrywą dla 8 pomp (Szer. x Wys. x Gł.)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Maksymalna całkowita wysokość modułu stacji dokujących wraz z pompami</w:t>
            </w:r>
            <w:r w:rsidR="00B932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dla 8 pomp</w:t>
            </w: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: 700 mm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Stopień ochrony IP 44 lub równoważny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Wbudowany uchwyt do mocowania stacji do kolumn anestezjologicznych, stojaków infuzyjnych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Możliwość łączenia stacji w moduły bez użycia specjalnych narzędzi.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Zespół połączonych stacji dokujących umożliwia pracę do 24 pomp w obrębie jednego stanowiska.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Stanowisko ze stacją wyposażone w sygnalizację świetlną oraz akustyczną, pozwalająca łatwo zidentyfikować status infuzji.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Zatrzaskowe mocowanie pomp.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Stacja wyposażona w interfejs przywołania personelu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color w:val="000000"/>
                <w:sz w:val="20"/>
                <w:szCs w:val="20"/>
              </w:rPr>
              <w:t>Komunikacja pomiędzy pompą a stacja dokującą odbywa się za pośrednictwem IrDA</w:t>
            </w:r>
            <w:r w:rsidR="00D1101C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sz w:val="20"/>
                <w:szCs w:val="20"/>
              </w:rPr>
              <w:t>Możliwość rozbudowania stacji dokującej o moduł komunikacyjny do przesyłania danych drogą przewodową (Ethernet)</w:t>
            </w:r>
            <w:r w:rsidR="00D1101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113E23">
        <w:trPr>
          <w:cantSplit/>
          <w:trHeight w:val="3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113E23" w:rsidRDefault="00113E23" w:rsidP="00113E23">
            <w:pPr>
              <w:rPr>
                <w:rFonts w:ascii="Arial Narrow" w:hAnsi="Arial Narrow" w:cs="Arial"/>
                <w:sz w:val="20"/>
                <w:szCs w:val="20"/>
              </w:rPr>
            </w:pPr>
            <w:r w:rsidRPr="00113E23">
              <w:rPr>
                <w:rFonts w:ascii="Arial Narrow" w:hAnsi="Arial Narrow" w:cs="Arial"/>
                <w:sz w:val="20"/>
                <w:szCs w:val="20"/>
              </w:rPr>
              <w:t>Pokr</w:t>
            </w:r>
            <w:r w:rsidR="00D1101C">
              <w:rPr>
                <w:rFonts w:ascii="Arial Narrow" w:hAnsi="Arial Narrow" w:cs="Arial"/>
                <w:sz w:val="20"/>
                <w:szCs w:val="20"/>
              </w:rPr>
              <w:t>ywa stanowiska ze stacją wyposaż</w:t>
            </w:r>
            <w:r w:rsidRPr="00113E23">
              <w:rPr>
                <w:rFonts w:ascii="Arial Narrow" w:hAnsi="Arial Narrow" w:cs="Arial"/>
                <w:sz w:val="20"/>
                <w:szCs w:val="20"/>
              </w:rPr>
              <w:t>ona w profil do odłożenia strzykawki podczas wymiany.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E23" w:rsidRPr="00DF0E1E" w:rsidRDefault="00113E23" w:rsidP="00DF0E1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13E23" w:rsidRPr="00DF0E1E" w:rsidRDefault="00113E23" w:rsidP="00DF0E1E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222C67" w:rsidRDefault="00113E23" w:rsidP="00DF0E1E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bookmarkStart w:id="0" w:name="_Hlk481595046"/>
            <w:r w:rsidRPr="00222C6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nowe, rok produkcji 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nie starszy niż 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2025.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222C67" w:rsidRDefault="00113E23" w:rsidP="00B2615A">
            <w:pPr>
              <w:rPr>
                <w:rFonts w:ascii="Arial Narrow" w:hAnsi="Arial Narrow" w:cs="Arial"/>
                <w:sz w:val="20"/>
                <w:szCs w:val="20"/>
                <w:highlight w:val="yellow"/>
              </w:rPr>
            </w:pPr>
            <w:r w:rsidRPr="004E340F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4E340F" w:rsidRPr="004E340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4E340F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078B0" w:rsidRPr="00B2615A" w:rsidTr="000078B0">
        <w:trPr>
          <w:cantSplit/>
          <w:trHeight w:val="65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8B0" w:rsidRPr="00B2615A" w:rsidRDefault="000078B0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8B0" w:rsidRPr="00CE0A78" w:rsidRDefault="00997C8C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9560C">
              <w:rPr>
                <w:rFonts w:ascii="Arial Narrow" w:hAnsi="Arial Narrow" w:cs="Arial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8B0" w:rsidRPr="00B2615A" w:rsidRDefault="000078B0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8B0" w:rsidRPr="00B2615A" w:rsidRDefault="000078B0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val="8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113E23" w:rsidRDefault="00113E2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D32BFC" w:rsidRPr="00CE0A78" w:rsidRDefault="00D32BFC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32BFC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113E23" w:rsidRPr="00CE0A78" w:rsidRDefault="00113E2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113E23" w:rsidRPr="00B2615A" w:rsidTr="00DF0E1E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13E23" w:rsidRPr="00B2615A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CE0A78" w:rsidRDefault="004E340F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3205F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w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 xml:space="preserve"> 100% użytkowanie sprzętu zgodnie z wymaganiami producenta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3205F">
              <w:rPr>
                <w:rFonts w:ascii="Arial Narrow" w:hAnsi="Arial Narrow" w:cs="Arial"/>
                <w:sz w:val="20"/>
                <w:szCs w:val="20"/>
              </w:rPr>
              <w:t> zawarty w cenie oferowanego urządzenia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3E23" w:rsidRPr="00B2615A" w:rsidTr="00DF0E1E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</w:t>
            </w:r>
            <w:r w:rsidR="00997C8C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min. 5</w:t>
            </w: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 xml:space="preserve"> lat od momentu dostarczenia</w:t>
            </w:r>
            <w:r w:rsidR="00997C8C">
              <w:rPr>
                <w:rFonts w:ascii="Arial Narrow" w:hAnsi="Arial Narrow" w:cs="Arial"/>
                <w:sz w:val="20"/>
                <w:szCs w:val="20"/>
                <w:lang w:eastAsia="pl-PL"/>
              </w:rPr>
              <w:t>, umożliwiająca dokonywanie napraw po zakończeniu okresu gwarancji w okresie trwałości projektu</w:t>
            </w:r>
          </w:p>
        </w:tc>
        <w:tc>
          <w:tcPr>
            <w:tcW w:w="6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3E23" w:rsidRPr="00B2615A" w:rsidRDefault="00113E2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222C67" w:rsidP="00222C67">
      <w:pPr>
        <w:ind w:left="84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F87776" w:rsidRPr="001B6A27" w:rsidSect="00BA680F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804" w:rsidRDefault="00243804" w:rsidP="004845EA">
      <w:r>
        <w:separator/>
      </w:r>
    </w:p>
  </w:endnote>
  <w:endnote w:type="continuationSeparator" w:id="1">
    <w:p w:rsidR="00243804" w:rsidRDefault="0024380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Default="003866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8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82B18" w:rsidRDefault="00682B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Pr="00222C67" w:rsidRDefault="00386679" w:rsidP="00222C67">
    <w:pPr>
      <w:pStyle w:val="Stopka"/>
      <w:framePr w:wrap="around" w:vAnchor="text" w:hAnchor="page" w:x="15972" w:yAlign="top"/>
      <w:rPr>
        <w:rStyle w:val="Numerstrony"/>
        <w:rFonts w:ascii="Arial Narrow" w:hAnsi="Arial Narrow"/>
        <w:sz w:val="16"/>
        <w:szCs w:val="16"/>
      </w:rPr>
    </w:pPr>
    <w:r w:rsidRPr="00222C67">
      <w:rPr>
        <w:rStyle w:val="Numerstrony"/>
        <w:rFonts w:ascii="Arial Narrow" w:hAnsi="Arial Narrow"/>
        <w:sz w:val="16"/>
        <w:szCs w:val="16"/>
      </w:rPr>
      <w:fldChar w:fldCharType="begin"/>
    </w:r>
    <w:r w:rsidR="00682B18" w:rsidRPr="00222C67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222C67">
      <w:rPr>
        <w:rStyle w:val="Numerstrony"/>
        <w:rFonts w:ascii="Arial Narrow" w:hAnsi="Arial Narrow"/>
        <w:sz w:val="16"/>
        <w:szCs w:val="16"/>
      </w:rPr>
      <w:fldChar w:fldCharType="separate"/>
    </w:r>
    <w:r w:rsidR="004E340F">
      <w:rPr>
        <w:rStyle w:val="Numerstrony"/>
        <w:rFonts w:ascii="Arial Narrow" w:hAnsi="Arial Narrow"/>
        <w:noProof/>
        <w:sz w:val="16"/>
        <w:szCs w:val="16"/>
      </w:rPr>
      <w:t>6</w:t>
    </w:r>
    <w:r w:rsidRPr="00222C67">
      <w:rPr>
        <w:rStyle w:val="Numerstrony"/>
        <w:rFonts w:ascii="Arial Narrow" w:hAnsi="Arial Narrow"/>
        <w:sz w:val="16"/>
        <w:szCs w:val="16"/>
      </w:rPr>
      <w:fldChar w:fldCharType="end"/>
    </w:r>
  </w:p>
  <w:p w:rsidR="00682B18" w:rsidRPr="00A208F1" w:rsidRDefault="00682B18" w:rsidP="00222C6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804" w:rsidRDefault="00243804" w:rsidP="004845EA">
      <w:r>
        <w:separator/>
      </w:r>
    </w:p>
  </w:footnote>
  <w:footnote w:type="continuationSeparator" w:id="1">
    <w:p w:rsidR="00243804" w:rsidRDefault="0024380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18" w:rsidRDefault="00682B18" w:rsidP="00997C8C">
    <w:pPr>
      <w:pStyle w:val="Nagwek"/>
      <w:tabs>
        <w:tab w:val="clear" w:pos="4536"/>
        <w:tab w:val="clear" w:pos="9072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997C8C">
      <w:rPr>
        <w:rFonts w:ascii="Arial Narrow" w:hAnsi="Arial Narrow"/>
        <w:sz w:val="22"/>
      </w:rPr>
      <w:t>Załącznik nr 6Ł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2"/>
  </w:num>
  <w:num w:numId="7">
    <w:abstractNumId w:val="5"/>
  </w:num>
  <w:num w:numId="8">
    <w:abstractNumId w:val="6"/>
  </w:num>
  <w:num w:numId="9">
    <w:abstractNumId w:val="17"/>
  </w:num>
  <w:num w:numId="10">
    <w:abstractNumId w:val="18"/>
  </w:num>
  <w:num w:numId="11">
    <w:abstractNumId w:val="10"/>
  </w:num>
  <w:num w:numId="12">
    <w:abstractNumId w:val="7"/>
  </w:num>
  <w:num w:numId="13">
    <w:abstractNumId w:val="9"/>
  </w:num>
  <w:num w:numId="14">
    <w:abstractNumId w:val="16"/>
  </w:num>
  <w:num w:numId="15">
    <w:abstractNumId w:val="8"/>
  </w:num>
  <w:num w:numId="16">
    <w:abstractNumId w:val="14"/>
  </w:num>
  <w:num w:numId="17">
    <w:abstractNumId w:val="19"/>
  </w:num>
  <w:num w:numId="18">
    <w:abstractNumId w:val="11"/>
  </w:num>
  <w:num w:numId="19">
    <w:abstractNumId w:val="4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078B0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E03CB"/>
    <w:rsid w:val="000F09AA"/>
    <w:rsid w:val="00113058"/>
    <w:rsid w:val="00113E23"/>
    <w:rsid w:val="00114B09"/>
    <w:rsid w:val="00116786"/>
    <w:rsid w:val="00121A08"/>
    <w:rsid w:val="00121F55"/>
    <w:rsid w:val="00122088"/>
    <w:rsid w:val="00143064"/>
    <w:rsid w:val="00146128"/>
    <w:rsid w:val="00157765"/>
    <w:rsid w:val="001A3016"/>
    <w:rsid w:val="001B6A27"/>
    <w:rsid w:val="001C507C"/>
    <w:rsid w:val="001D3DA9"/>
    <w:rsid w:val="001D5CE1"/>
    <w:rsid w:val="001E1E74"/>
    <w:rsid w:val="001E3FF9"/>
    <w:rsid w:val="00200756"/>
    <w:rsid w:val="002058CE"/>
    <w:rsid w:val="00222C67"/>
    <w:rsid w:val="00222F93"/>
    <w:rsid w:val="00237EBA"/>
    <w:rsid w:val="00243804"/>
    <w:rsid w:val="0025042F"/>
    <w:rsid w:val="002539DD"/>
    <w:rsid w:val="00260099"/>
    <w:rsid w:val="0028054C"/>
    <w:rsid w:val="0028328C"/>
    <w:rsid w:val="00294705"/>
    <w:rsid w:val="0029780E"/>
    <w:rsid w:val="002A658E"/>
    <w:rsid w:val="002B7E5C"/>
    <w:rsid w:val="002D6B1A"/>
    <w:rsid w:val="002F1034"/>
    <w:rsid w:val="002F1129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76434"/>
    <w:rsid w:val="0038515D"/>
    <w:rsid w:val="00386679"/>
    <w:rsid w:val="00391BAB"/>
    <w:rsid w:val="00393C10"/>
    <w:rsid w:val="003A2D88"/>
    <w:rsid w:val="003B2C01"/>
    <w:rsid w:val="003B4C8B"/>
    <w:rsid w:val="003B59C7"/>
    <w:rsid w:val="003C7ED6"/>
    <w:rsid w:val="003D2C4E"/>
    <w:rsid w:val="003D506E"/>
    <w:rsid w:val="00411422"/>
    <w:rsid w:val="004140EF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E340F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4E9B"/>
    <w:rsid w:val="005F6E5F"/>
    <w:rsid w:val="006030CC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2B18"/>
    <w:rsid w:val="006848E7"/>
    <w:rsid w:val="0069176A"/>
    <w:rsid w:val="006922CA"/>
    <w:rsid w:val="006A19EA"/>
    <w:rsid w:val="006C4707"/>
    <w:rsid w:val="006E034F"/>
    <w:rsid w:val="006E12D2"/>
    <w:rsid w:val="006F0DA9"/>
    <w:rsid w:val="007147C1"/>
    <w:rsid w:val="00723F82"/>
    <w:rsid w:val="00730B19"/>
    <w:rsid w:val="00731F17"/>
    <w:rsid w:val="00762EAA"/>
    <w:rsid w:val="0078588D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270F"/>
    <w:rsid w:val="00836C82"/>
    <w:rsid w:val="00843CFF"/>
    <w:rsid w:val="008521A6"/>
    <w:rsid w:val="00854B8D"/>
    <w:rsid w:val="008642E3"/>
    <w:rsid w:val="00864487"/>
    <w:rsid w:val="008808F8"/>
    <w:rsid w:val="00880CE2"/>
    <w:rsid w:val="008845A7"/>
    <w:rsid w:val="00891CD3"/>
    <w:rsid w:val="00893E37"/>
    <w:rsid w:val="0089444B"/>
    <w:rsid w:val="008B47BA"/>
    <w:rsid w:val="008C1554"/>
    <w:rsid w:val="008D5D80"/>
    <w:rsid w:val="008E2847"/>
    <w:rsid w:val="008E2A03"/>
    <w:rsid w:val="008F264D"/>
    <w:rsid w:val="008F2B12"/>
    <w:rsid w:val="00905690"/>
    <w:rsid w:val="009077B6"/>
    <w:rsid w:val="009130B6"/>
    <w:rsid w:val="00920358"/>
    <w:rsid w:val="009348A9"/>
    <w:rsid w:val="009375BB"/>
    <w:rsid w:val="009501FB"/>
    <w:rsid w:val="009573C1"/>
    <w:rsid w:val="009620F5"/>
    <w:rsid w:val="00965CB6"/>
    <w:rsid w:val="00976AB0"/>
    <w:rsid w:val="00996C96"/>
    <w:rsid w:val="00997C8C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67A93"/>
    <w:rsid w:val="00A9171F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71D3A"/>
    <w:rsid w:val="00B93201"/>
    <w:rsid w:val="00B97B86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4DA8"/>
    <w:rsid w:val="00CB1025"/>
    <w:rsid w:val="00CB2AE0"/>
    <w:rsid w:val="00CB683F"/>
    <w:rsid w:val="00CC2331"/>
    <w:rsid w:val="00CD5830"/>
    <w:rsid w:val="00CE0A07"/>
    <w:rsid w:val="00CE0A78"/>
    <w:rsid w:val="00CF2621"/>
    <w:rsid w:val="00CF6535"/>
    <w:rsid w:val="00D04817"/>
    <w:rsid w:val="00D1101C"/>
    <w:rsid w:val="00D13B8F"/>
    <w:rsid w:val="00D23C37"/>
    <w:rsid w:val="00D32BFC"/>
    <w:rsid w:val="00D34851"/>
    <w:rsid w:val="00D4499D"/>
    <w:rsid w:val="00D4776A"/>
    <w:rsid w:val="00D63965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E584F"/>
    <w:rsid w:val="00DF0E1E"/>
    <w:rsid w:val="00DF2AF1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915"/>
    <w:rsid w:val="00E762D8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20B0"/>
    <w:rsid w:val="00F2610F"/>
    <w:rsid w:val="00F50B2F"/>
    <w:rsid w:val="00F55634"/>
    <w:rsid w:val="00F77582"/>
    <w:rsid w:val="00F85592"/>
    <w:rsid w:val="00F87776"/>
    <w:rsid w:val="00F878E3"/>
    <w:rsid w:val="00F9150E"/>
    <w:rsid w:val="00F91817"/>
    <w:rsid w:val="00F97014"/>
    <w:rsid w:val="00F97E0B"/>
    <w:rsid w:val="00FB1FC6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F5D33-5D9F-4076-88FE-DE1505EC8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2307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2024-02-28T06:20:00Z</cp:lastPrinted>
  <dcterms:created xsi:type="dcterms:W3CDTF">2026-02-24T11:24:00Z</dcterms:created>
  <dcterms:modified xsi:type="dcterms:W3CDTF">2026-02-24T11:24:00Z</dcterms:modified>
</cp:coreProperties>
</file>