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256A2E" w:rsidRDefault="0091762F" w:rsidP="00256A2E">
      <w:pPr>
        <w:jc w:val="right"/>
        <w:rPr>
          <w:rFonts w:ascii="Arial Narrow" w:hAnsi="Arial Narrow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35731626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F01162" w:rsidP="006C470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Pompa </w:t>
            </w:r>
            <w:r w:rsidR="006C4707">
              <w:rPr>
                <w:rFonts w:ascii="Arial Narrow" w:hAnsi="Arial Narrow" w:cs="Arial"/>
                <w:b/>
                <w:sz w:val="20"/>
                <w:szCs w:val="20"/>
              </w:rPr>
              <w:t>strzykawkowa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6C4707" w:rsidP="00F0116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6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F01162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B2615A" w:rsidTr="00D04817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F01162" w:rsidRPr="00B2615A" w:rsidTr="0058291D">
        <w:trPr>
          <w:cantSplit/>
          <w:trHeight w:val="80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strzykawkowa sterowana elektronicznie przeznaczona do stosowania u dorosłych do tymczasowego lub ciągłego podawania roztworów pozajelitowych i dojelitowych za pośrednictwem standardowych medycznych dróg dostępu. Do tych dróg należą m.in.: droga dożylna, dotętnicza, podskórna, zewnątrzoponowa i dojelitowa.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6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Zasilanie 230V 50 Hz, bezpośrednio z sieci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1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Klasa ochronności II lub równoważna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Masa pompy gotowej do użycia poniżej 2 kg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58291D">
        <w:trPr>
          <w:cantSplit/>
          <w:trHeight w:val="38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  <w:u w:val="double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Wymiary pompy (Szer. x Wys. x Gł.)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Przestrzeń zajmowana przez pompę: nie większa, niż 3 200 cm</w:t>
            </w:r>
            <w:r w:rsidRPr="00F01162">
              <w:rPr>
                <w:rFonts w:ascii="Arial Narrow" w:hAnsi="Arial Narrow" w:cs="Arial"/>
                <w:sz w:val="20"/>
                <w:szCs w:val="20"/>
                <w:vertAlign w:val="superscript"/>
              </w:rPr>
              <w:t>3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przy schowanym napędzie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58291D">
        <w:trPr>
          <w:cantSplit/>
          <w:trHeight w:val="36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Dokładność podaży +/- 2%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Menu pompy w języku polskim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Instrukcja obsługi zaimplemetnowana w menu pompy, ułatwiająca obsługę urządzenia podczas zakładania strzykawki.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Stopień ochrony IP 44 lub równoważny, chroniący przed bryzgami wody z dowolnego kierunku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58291D">
        <w:trPr>
          <w:cantSplit/>
          <w:trHeight w:val="52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Kolorowy wyświetlacz 5", umożliwiający pełne dotykowe sterowanie i obsługę pompy; Wysoka rozdzielczość wyświetlanych informacji, min. 800x240 punktów.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Wbudowan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 xml:space="preserve">y uchwyt do przenoszenia pompy.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Możliwość łączenia pomp w moduły i przenoszenia bez użycia stacji dokującej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 xml:space="preserve">-  3 pompy na jednym uchwycie.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Opcjonalnie odłączalny zatrzaskowo uchwyt do mocowania pompy do stojaków infuzyjnych, oraz szyn poziomych. Zakres regulacji min. 20-40mm.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58291D">
        <w:trPr>
          <w:cantSplit/>
          <w:trHeight w:val="84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Strzykawka automatycznie mocowana od przodu, chroniona przed drzwiczki pompy; Mechanizm blokujący tłok strzykawki, zabezpieczający  przedswobodnym  niekontrolowanym przepływem działający niezależnie od położenia głowicy napędowej w stosunku do tłoka strzykawki. Aktualny status strzykawki wyświetlany na ekranie pompy w formie graficznej.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58291D">
        <w:trPr>
          <w:cantSplit/>
          <w:trHeight w:val="37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skalibrowana do pracy ze strzykawkami o objętości 2/3,5, 10, 20, 30 i 50/60 ml różnych typów oraz różnych producentów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Times New Roman" w:hAnsi="Arial Narrow" w:cs="Times New Roman"/>
                <w:kern w:val="0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Zatrzaskowe mocowanie w stacji dokującej, bez konieczności przykręcania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Komunikacja pomiędzy pompą a stacja dokującą odbywa się za pośrednictwem IrDA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58291D">
        <w:trPr>
          <w:cantSplit/>
          <w:trHeight w:val="15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wyposażona w moduł łączności bezprzewodowej WLAN w standardach 802.11a, 802.11b, 802.11g, 802.11n; umożliwiający podłączenie urządzenia do szpitalnego systemu informatycznego w standardzie HL7-IHE; Wspierane prędkości transferu WLAN 802.11a (OFDM): 6/9/12/18/24/36/48/54 Mbit/s, 802.11b (DSSS, CCK): 1/2/5.5/11 Mbit/s, 802.11g (OFDM): 6/9/12/18/24/36/48/54 Mbit/s 802.11n (OFDM, HT20, MCS 0-15):Full guard interval: 6.5/13/19.5/26/39/52/58.5/65/78/104/117 Mbit/s, Short guard interval: 1.2/14.4/21.7/28.9/29.9/43.3/57.8/65/72.2/86.7/115.6/130/144.4 Mbit/s; Standardy bezpieczeństwa: Wireless Equivalent Privacy (WEP), Wi-Fi Protected Access (WPA), IEEE 802.11i (WPA2),FIPS 140-2 Level 1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58291D">
        <w:trPr>
          <w:cantSplit/>
          <w:trHeight w:val="55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przygotowana do podłączenia do szpitalnego systemu informatycznego w standardzie HL7-IHE; Pompa wyposażona w bufor do przechowania inf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ormacji w przypadku utraty łącz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ności. Całość komunikacji szyfrowana na zasadzie end-to-end.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Pompy wyposażone w funkcję automatycznego przejmowania infuzji przez kolejną pompę natychmiast po zakończeniu infuzji w poprzedniej: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 xml:space="preserve">- podjęcie infuzji przez  pompę przejmującą bez konieczności naciskania przycisku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START ani jakiegokolwiek innego,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w obu pompach konieczność użycia strzykawek o tej samej pojemności ale mo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gą być różnych producentów,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pompy podczas pracy w trybie przejęcia są czytelnie opisane symbolami jednoznacznie wskazującymi która pompa prowadzi infuzję a która oczekuje na podjęcie pracy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programowanie pracy w trybie przejęcie odbywa się z pozycji ekranu dotykowego pompy, wykluczając ryzyko pomyłki zaprogramowania niewłaściwej pompy.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zdalnej aktualizacji oprogramowania pompy, oraz biblioteki leków bez konieczności przerywania pracy pompy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8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Zakres prędkości infuzji min. 0,01 do 1800 ml/h ; Zmiana prędkości podaży bez przerywania infuzji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6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Wstępnie wybierana objętość w zakresie 0,01 - 9999 ml, w zakresie 0,01 ml — 99,99 ml programowana w krokach co 0,01 ml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Wstępnie wybierany czas w zakresie 00h01min - 99h59min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8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Automatyczna kalkulacja prędkości podaży po wprowadzeniu objętości i czasu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programowania parametrów infuzji w mg, mcg, ng, IE, mmol, lub mEq ,z uwzględnieniem lub nie masy ciała w odniesieniu do czasu ( np. mg/kg/min; mg/kg/h; mg/kg/24h)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Pompa wyposażona w system redukcji błędów dawki.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System automatycznej redukcji bolusa po alarmie ciśnienia okluzji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Bolus: Prędkość bolusa możliwa do zaprog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ramowania w zakresie1-1800 ml/h.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Tryby bolusa: Bolus na żądanie; Bolus programowany z automa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tyczną ka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lkulacją prędkości po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wprowadzeniu objętości i czasu.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0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podaży bolusa w jednostkach mg, mcg, mmol, mEq oraz jednostkach wagowych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2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58291D" w:rsidP="00F0116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>ryb stand-by w zakresie od 1 min do 24 godzin z programowaniem co 1 minutę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0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Regulacja intensywności podśw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etlenia na 9 poziomach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58291D">
        <w:trPr>
          <w:cantSplit/>
          <w:trHeight w:val="107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58291D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Biblioteka leków z możli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>wością wpisu min. 10000 leków, z możliwością podzielenia na min. 30 k</w:t>
            </w:r>
            <w:r>
              <w:rPr>
                <w:rFonts w:ascii="Arial Narrow" w:hAnsi="Arial Narrow" w:cs="Arial"/>
                <w:sz w:val="20"/>
                <w:szCs w:val="20"/>
              </w:rPr>
              <w:t>ategorii i 15 profili pacjentów.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Każdy lek może być powiązany z limitami miękkimi, z limitami twardymi, oraz kolorowymi etykietami - min. 30 k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ombinacji kolorystycznych.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Nazwa leku stale widoczna na wyśw</w:t>
            </w:r>
            <w:r>
              <w:rPr>
                <w:rFonts w:ascii="Arial Narrow" w:hAnsi="Arial Narrow" w:cs="Arial"/>
                <w:sz w:val="20"/>
                <w:szCs w:val="20"/>
              </w:rPr>
              <w:t>ietlaczu pompy, również po wystą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pieniu dowolnego alarmu.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Możliwość wprowadzenia do pompy biblioteki leków bezpośrednio z komputera, lub zdalnie poprzez sieć szpitalną z centralnego serwera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58291D">
        <w:trPr>
          <w:cantSplit/>
          <w:trHeight w:val="85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opcjonalnego rozszerzenia funkcjonalności pompy strzykawkowej o tryb TCI dla Propofolu, Remifentanylu i Sufentanylu, realizowanego przy użyciu algorytmu opartego na trójkompartmentowym modelu farmakokinetycznym. Dostępne modele: March, Schnider, Eleveld, Minto, Gepts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Na ekranie pompy stale dostępna informacja o obecnym stężeniu w osoczu oraz obecnym stężeniu w miejscu oddziaływania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Wizualizacja graficzna stanu znieczulenia dwoma różnymi kolorami, innymi dla osocza i miejsca oddziaływania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EE0425">
        <w:trPr>
          <w:cantSplit/>
          <w:trHeight w:val="60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Ciśnienie okluzji możliwe do ustawienia na min. 9 poziomach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 zakresie od 75 do 900 mmHg; Ws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kaźnik ciśnienia okluzji stale widoczny na wyświetlaczu pompy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EE0425">
        <w:trPr>
          <w:cantSplit/>
          <w:trHeight w:val="83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Wbudow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any akumulator litowo – jonowy.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Zasilanie z wbudowanego akumulatora ok. 10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 godz. przy przepływie 25 ml/h.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Czas p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onownego ładowania ok. 5 godz.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Na wyświetlaczu widoczna precyzyjna informacja o pozostałym czasie pracy aku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mulatora w godzinach i minutach.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Automatyczne łado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wanie akumulatora w pompie podłą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czonej do zasilania sieciowego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Pobór mocy w normalnych warunkach pracy ok. 4 W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EE0425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Rozbudowan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y system alarmów wizualnych i dź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więkowych.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Historia pracy dost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ępna z menu pompy, z możliwością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zapisania do 1000 zdarzeń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EE0425">
        <w:trPr>
          <w:cantSplit/>
          <w:trHeight w:val="54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wprowadzenia informacji o dacie następnego przeglądu technicznego i wyświetlania jej przy każdym uruchomieniu pompy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F01162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Dodatkowe wyposażenie: uchwyt zatrzaskowo łączony z pompą, do mo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cowania pompy poza stacją dokują</w:t>
            </w:r>
            <w:r w:rsidR="006C4707">
              <w:rPr>
                <w:rFonts w:ascii="Arial Narrow" w:hAnsi="Arial Narrow" w:cs="Arial"/>
                <w:sz w:val="20"/>
                <w:szCs w:val="20"/>
              </w:rPr>
              <w:t>cą - 6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szt.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91762F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91762F" w:rsidRDefault="0058291D" w:rsidP="002D6B1A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0" w:name="_Hlk481595046"/>
            <w:r w:rsidRPr="009176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58291D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CE0A78" w:rsidRDefault="0058291D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91762F" w:rsidRDefault="0058291D" w:rsidP="00B2615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06CF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206CF3" w:rsidRPr="00206C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06CF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206CF3" w:rsidRPr="00206C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06CF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206CF3" w:rsidRPr="00206C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06CF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206CF3" w:rsidRPr="00206C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06CF3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206CF3" w:rsidRPr="00206C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06CF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206CF3" w:rsidRPr="00206CF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06CF3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CE0A78" w:rsidRDefault="0058291D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CE0A78" w:rsidRDefault="0058291D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B542A" w:rsidRPr="00B2615A" w:rsidTr="004B542A">
        <w:trPr>
          <w:cantSplit/>
          <w:trHeight w:val="64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542A" w:rsidRPr="00B2615A" w:rsidRDefault="004B542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542A" w:rsidRPr="00CE0A78" w:rsidRDefault="00256A2E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542A" w:rsidRPr="00B2615A" w:rsidRDefault="004B542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B542A" w:rsidRPr="00B2615A" w:rsidRDefault="004B542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CE0A78" w:rsidRDefault="0058291D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58291D" w:rsidRDefault="0058291D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403A1B" w:rsidRPr="00CE0A78" w:rsidRDefault="00403A1B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3A1B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58291D" w:rsidRPr="00CE0A78" w:rsidRDefault="0058291D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CE0A78" w:rsidRDefault="0058291D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lastRenderedPageBreak/>
              <w:t>Warunki gwarancji i serwisu</w:t>
            </w:r>
          </w:p>
        </w:tc>
      </w:tr>
      <w:tr w:rsidR="0058291D" w:rsidRPr="00B2615A" w:rsidTr="00D04817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CE0A78" w:rsidRDefault="0058291D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8291D" w:rsidRPr="00B2615A" w:rsidRDefault="0058291D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CE0A78" w:rsidRDefault="0058291D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CE0A78" w:rsidRDefault="0058291D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CE0A78" w:rsidRDefault="0058291D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CE0A78" w:rsidRDefault="0058291D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hRule="exact" w:val="96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91762F" w:rsidRDefault="00206CF3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91D" w:rsidRPr="00B2615A" w:rsidTr="00D04817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</w:t>
            </w:r>
            <w:r w:rsidR="00256A2E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min. 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256A2E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91D" w:rsidRPr="00B2615A" w:rsidRDefault="0058291D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D2B" w:rsidRDefault="00254D2B" w:rsidP="004845EA">
      <w:r>
        <w:separator/>
      </w:r>
    </w:p>
  </w:endnote>
  <w:endnote w:type="continuationSeparator" w:id="1">
    <w:p w:rsidR="00254D2B" w:rsidRDefault="00254D2B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4C51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91762F" w:rsidRDefault="004C5169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91762F">
      <w:rPr>
        <w:rStyle w:val="Numerstrony"/>
        <w:rFonts w:ascii="Arial Narrow" w:hAnsi="Arial Narrow"/>
        <w:sz w:val="16"/>
        <w:szCs w:val="16"/>
      </w:rPr>
      <w:fldChar w:fldCharType="begin"/>
    </w:r>
    <w:r w:rsidR="001B6A27" w:rsidRPr="0091762F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91762F">
      <w:rPr>
        <w:rStyle w:val="Numerstrony"/>
        <w:rFonts w:ascii="Arial Narrow" w:hAnsi="Arial Narrow"/>
        <w:sz w:val="16"/>
        <w:szCs w:val="16"/>
      </w:rPr>
      <w:fldChar w:fldCharType="separate"/>
    </w:r>
    <w:r w:rsidR="00206CF3">
      <w:rPr>
        <w:rStyle w:val="Numerstrony"/>
        <w:rFonts w:ascii="Arial Narrow" w:hAnsi="Arial Narrow"/>
        <w:noProof/>
        <w:sz w:val="16"/>
        <w:szCs w:val="16"/>
      </w:rPr>
      <w:t>4</w:t>
    </w:r>
    <w:r w:rsidRPr="0091762F">
      <w:rPr>
        <w:rStyle w:val="Numerstrony"/>
        <w:rFonts w:ascii="Arial Narrow" w:hAnsi="Arial Narrow"/>
        <w:sz w:val="16"/>
        <w:szCs w:val="16"/>
      </w:rPr>
      <w:fldChar w:fldCharType="end"/>
    </w:r>
  </w:p>
  <w:p w:rsidR="001B6A27" w:rsidRPr="00A208F1" w:rsidRDefault="001B6A27" w:rsidP="0091762F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D2B" w:rsidRDefault="00254D2B" w:rsidP="004845EA">
      <w:r>
        <w:separator/>
      </w:r>
    </w:p>
  </w:footnote>
  <w:footnote w:type="continuationSeparator" w:id="1">
    <w:p w:rsidR="00254D2B" w:rsidRDefault="00254D2B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 w:rsidR="0091762F">
      <w:rPr>
        <w:rFonts w:ascii="Arial Narrow" w:hAnsi="Arial Narrow"/>
        <w:sz w:val="22"/>
      </w:rPr>
      <w:t>Załącznik nr 6M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5"/>
  </w:num>
  <w:num w:numId="8">
    <w:abstractNumId w:val="6"/>
  </w:num>
  <w:num w:numId="9">
    <w:abstractNumId w:val="17"/>
  </w:num>
  <w:num w:numId="10">
    <w:abstractNumId w:val="18"/>
  </w:num>
  <w:num w:numId="11">
    <w:abstractNumId w:val="10"/>
  </w:num>
  <w:num w:numId="12">
    <w:abstractNumId w:val="7"/>
  </w:num>
  <w:num w:numId="13">
    <w:abstractNumId w:val="9"/>
  </w:num>
  <w:num w:numId="14">
    <w:abstractNumId w:val="16"/>
  </w:num>
  <w:num w:numId="15">
    <w:abstractNumId w:val="8"/>
  </w:num>
  <w:num w:numId="16">
    <w:abstractNumId w:val="14"/>
  </w:num>
  <w:num w:numId="17">
    <w:abstractNumId w:val="19"/>
  </w:num>
  <w:num w:numId="18">
    <w:abstractNumId w:val="11"/>
  </w:num>
  <w:num w:numId="19">
    <w:abstractNumId w:val="4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47390"/>
    <w:rsid w:val="0005668E"/>
    <w:rsid w:val="0005755D"/>
    <w:rsid w:val="00073CEE"/>
    <w:rsid w:val="00077D92"/>
    <w:rsid w:val="000C7F7D"/>
    <w:rsid w:val="000F09AA"/>
    <w:rsid w:val="00113058"/>
    <w:rsid w:val="00114B09"/>
    <w:rsid w:val="00116786"/>
    <w:rsid w:val="00121A08"/>
    <w:rsid w:val="00121F55"/>
    <w:rsid w:val="00143064"/>
    <w:rsid w:val="00146128"/>
    <w:rsid w:val="00157765"/>
    <w:rsid w:val="001A3016"/>
    <w:rsid w:val="001B6A27"/>
    <w:rsid w:val="001C507C"/>
    <w:rsid w:val="001D3DA9"/>
    <w:rsid w:val="001D5CE1"/>
    <w:rsid w:val="001E3FF9"/>
    <w:rsid w:val="00200756"/>
    <w:rsid w:val="002058CE"/>
    <w:rsid w:val="00206CF3"/>
    <w:rsid w:val="00222F93"/>
    <w:rsid w:val="00237EBA"/>
    <w:rsid w:val="0025042F"/>
    <w:rsid w:val="002539DD"/>
    <w:rsid w:val="00254D2B"/>
    <w:rsid w:val="00256A2E"/>
    <w:rsid w:val="00260099"/>
    <w:rsid w:val="0028054C"/>
    <w:rsid w:val="0028328C"/>
    <w:rsid w:val="00294705"/>
    <w:rsid w:val="0029780E"/>
    <w:rsid w:val="002A658E"/>
    <w:rsid w:val="002B7E5C"/>
    <w:rsid w:val="002D6B1A"/>
    <w:rsid w:val="002F1034"/>
    <w:rsid w:val="002F1129"/>
    <w:rsid w:val="002F7F00"/>
    <w:rsid w:val="003005F9"/>
    <w:rsid w:val="00315E05"/>
    <w:rsid w:val="00321F18"/>
    <w:rsid w:val="0033360C"/>
    <w:rsid w:val="00333E8F"/>
    <w:rsid w:val="00340DDE"/>
    <w:rsid w:val="003527B5"/>
    <w:rsid w:val="003561CF"/>
    <w:rsid w:val="00371915"/>
    <w:rsid w:val="0038515D"/>
    <w:rsid w:val="00391BAB"/>
    <w:rsid w:val="00393C10"/>
    <w:rsid w:val="003A2D88"/>
    <w:rsid w:val="003B2C01"/>
    <w:rsid w:val="003B4C8B"/>
    <w:rsid w:val="003B59C7"/>
    <w:rsid w:val="003C7ED6"/>
    <w:rsid w:val="003D0B79"/>
    <w:rsid w:val="003D2C4E"/>
    <w:rsid w:val="003D506E"/>
    <w:rsid w:val="00403A1B"/>
    <w:rsid w:val="00411422"/>
    <w:rsid w:val="004140EF"/>
    <w:rsid w:val="00433E3D"/>
    <w:rsid w:val="004346E6"/>
    <w:rsid w:val="004369F7"/>
    <w:rsid w:val="00450E33"/>
    <w:rsid w:val="004845EA"/>
    <w:rsid w:val="004B0CC1"/>
    <w:rsid w:val="004B4B63"/>
    <w:rsid w:val="004B542A"/>
    <w:rsid w:val="004B5737"/>
    <w:rsid w:val="004C00BC"/>
    <w:rsid w:val="004C5169"/>
    <w:rsid w:val="004E6266"/>
    <w:rsid w:val="004F1D59"/>
    <w:rsid w:val="004F60B4"/>
    <w:rsid w:val="004F7BB1"/>
    <w:rsid w:val="005056AC"/>
    <w:rsid w:val="00506A82"/>
    <w:rsid w:val="0051288E"/>
    <w:rsid w:val="00513DC2"/>
    <w:rsid w:val="005255C5"/>
    <w:rsid w:val="00525D8D"/>
    <w:rsid w:val="0052789D"/>
    <w:rsid w:val="00530E8B"/>
    <w:rsid w:val="005437B7"/>
    <w:rsid w:val="00545413"/>
    <w:rsid w:val="00552152"/>
    <w:rsid w:val="0055517C"/>
    <w:rsid w:val="0057334F"/>
    <w:rsid w:val="0058291D"/>
    <w:rsid w:val="0059752D"/>
    <w:rsid w:val="005A0ED6"/>
    <w:rsid w:val="005A5A60"/>
    <w:rsid w:val="005B28BD"/>
    <w:rsid w:val="005B29D0"/>
    <w:rsid w:val="005B5BB8"/>
    <w:rsid w:val="005C5C64"/>
    <w:rsid w:val="005D3FED"/>
    <w:rsid w:val="005D7755"/>
    <w:rsid w:val="005F6E5F"/>
    <w:rsid w:val="006030CC"/>
    <w:rsid w:val="006077B6"/>
    <w:rsid w:val="00615496"/>
    <w:rsid w:val="00632DB1"/>
    <w:rsid w:val="0063325A"/>
    <w:rsid w:val="00641C2C"/>
    <w:rsid w:val="00646E3A"/>
    <w:rsid w:val="006513D7"/>
    <w:rsid w:val="00664308"/>
    <w:rsid w:val="0067442B"/>
    <w:rsid w:val="006848E7"/>
    <w:rsid w:val="0069176A"/>
    <w:rsid w:val="006922CA"/>
    <w:rsid w:val="006A19EA"/>
    <w:rsid w:val="006C4707"/>
    <w:rsid w:val="006E034F"/>
    <w:rsid w:val="006E12D2"/>
    <w:rsid w:val="006F0DA9"/>
    <w:rsid w:val="00723F82"/>
    <w:rsid w:val="00730B19"/>
    <w:rsid w:val="00731F17"/>
    <w:rsid w:val="00762EAA"/>
    <w:rsid w:val="00791DD0"/>
    <w:rsid w:val="007A253C"/>
    <w:rsid w:val="007A6BB7"/>
    <w:rsid w:val="007B78B4"/>
    <w:rsid w:val="007E1FB8"/>
    <w:rsid w:val="007F5797"/>
    <w:rsid w:val="007F700C"/>
    <w:rsid w:val="008117CD"/>
    <w:rsid w:val="00817993"/>
    <w:rsid w:val="008205F2"/>
    <w:rsid w:val="00836C82"/>
    <w:rsid w:val="008521A6"/>
    <w:rsid w:val="00854B8D"/>
    <w:rsid w:val="008642E3"/>
    <w:rsid w:val="00864487"/>
    <w:rsid w:val="008808F8"/>
    <w:rsid w:val="00880CE2"/>
    <w:rsid w:val="008845A7"/>
    <w:rsid w:val="00893E37"/>
    <w:rsid w:val="008B47BA"/>
    <w:rsid w:val="008C1554"/>
    <w:rsid w:val="008D5D80"/>
    <w:rsid w:val="008E2847"/>
    <w:rsid w:val="008E2A03"/>
    <w:rsid w:val="008F264D"/>
    <w:rsid w:val="008F2B12"/>
    <w:rsid w:val="00905690"/>
    <w:rsid w:val="009077B6"/>
    <w:rsid w:val="009130B6"/>
    <w:rsid w:val="0091762F"/>
    <w:rsid w:val="00920358"/>
    <w:rsid w:val="009348A9"/>
    <w:rsid w:val="009375BB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9F580C"/>
    <w:rsid w:val="00A67A93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15658"/>
    <w:rsid w:val="00B2615A"/>
    <w:rsid w:val="00B37498"/>
    <w:rsid w:val="00B71D3A"/>
    <w:rsid w:val="00BA680F"/>
    <w:rsid w:val="00BC2D44"/>
    <w:rsid w:val="00C14F51"/>
    <w:rsid w:val="00C33C4F"/>
    <w:rsid w:val="00C375C6"/>
    <w:rsid w:val="00C4344C"/>
    <w:rsid w:val="00C55CC2"/>
    <w:rsid w:val="00C672D0"/>
    <w:rsid w:val="00C7558F"/>
    <w:rsid w:val="00C923AC"/>
    <w:rsid w:val="00C93649"/>
    <w:rsid w:val="00C96D5F"/>
    <w:rsid w:val="00CA4DA8"/>
    <w:rsid w:val="00CB1025"/>
    <w:rsid w:val="00CB2AE0"/>
    <w:rsid w:val="00CB683F"/>
    <w:rsid w:val="00CC2331"/>
    <w:rsid w:val="00CD5830"/>
    <w:rsid w:val="00CE0A07"/>
    <w:rsid w:val="00CE0A78"/>
    <w:rsid w:val="00CF2621"/>
    <w:rsid w:val="00CF6535"/>
    <w:rsid w:val="00D04817"/>
    <w:rsid w:val="00D13B8F"/>
    <w:rsid w:val="00D23C37"/>
    <w:rsid w:val="00D34851"/>
    <w:rsid w:val="00D415D8"/>
    <w:rsid w:val="00D4776A"/>
    <w:rsid w:val="00D63965"/>
    <w:rsid w:val="00DA0D28"/>
    <w:rsid w:val="00DA42CE"/>
    <w:rsid w:val="00DB21C6"/>
    <w:rsid w:val="00DB3882"/>
    <w:rsid w:val="00DB39C5"/>
    <w:rsid w:val="00DC5F27"/>
    <w:rsid w:val="00DC69ED"/>
    <w:rsid w:val="00DD22A5"/>
    <w:rsid w:val="00DD351C"/>
    <w:rsid w:val="00DF2AF1"/>
    <w:rsid w:val="00DF486F"/>
    <w:rsid w:val="00DF488C"/>
    <w:rsid w:val="00DF6DBA"/>
    <w:rsid w:val="00DF71DF"/>
    <w:rsid w:val="00E05144"/>
    <w:rsid w:val="00E123E4"/>
    <w:rsid w:val="00E50CD1"/>
    <w:rsid w:val="00E52DF7"/>
    <w:rsid w:val="00E53A8E"/>
    <w:rsid w:val="00E56F64"/>
    <w:rsid w:val="00E66915"/>
    <w:rsid w:val="00E762D8"/>
    <w:rsid w:val="00E92C2F"/>
    <w:rsid w:val="00E94A1F"/>
    <w:rsid w:val="00E96A35"/>
    <w:rsid w:val="00EB51A3"/>
    <w:rsid w:val="00EC366B"/>
    <w:rsid w:val="00EC36D0"/>
    <w:rsid w:val="00EE0425"/>
    <w:rsid w:val="00F01162"/>
    <w:rsid w:val="00F03450"/>
    <w:rsid w:val="00F040BC"/>
    <w:rsid w:val="00F2610F"/>
    <w:rsid w:val="00F50B2F"/>
    <w:rsid w:val="00F55634"/>
    <w:rsid w:val="00F77582"/>
    <w:rsid w:val="00F85592"/>
    <w:rsid w:val="00F87776"/>
    <w:rsid w:val="00F878E3"/>
    <w:rsid w:val="00F9150E"/>
    <w:rsid w:val="00F97014"/>
    <w:rsid w:val="00F97E0B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E66B5-1CFF-4AC9-8A3B-C33A96870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1302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2024-02-28T06:20:00Z</cp:lastPrinted>
  <dcterms:created xsi:type="dcterms:W3CDTF">2026-02-24T11:24:00Z</dcterms:created>
  <dcterms:modified xsi:type="dcterms:W3CDTF">2026-02-24T11:24:00Z</dcterms:modified>
</cp:coreProperties>
</file>