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EF174" w14:textId="4062B8C3" w:rsidR="00526E92" w:rsidRPr="00C67E36" w:rsidRDefault="00526E92" w:rsidP="00C67E36">
      <w:pPr>
        <w:tabs>
          <w:tab w:val="left" w:pos="3675"/>
          <w:tab w:val="right" w:pos="9072"/>
        </w:tabs>
        <w:spacing w:after="120"/>
        <w:ind w:right="-567"/>
        <w:jc w:val="right"/>
        <w:rPr>
          <w:rFonts w:ascii="Arial" w:hAnsi="Arial" w:cs="Arial"/>
          <w:b/>
        </w:rPr>
      </w:pPr>
      <w:r w:rsidRPr="00C67E36">
        <w:rPr>
          <w:rFonts w:ascii="Arial" w:hAnsi="Arial" w:cs="Arial"/>
          <w:b/>
        </w:rPr>
        <w:t>Załącznik A do SWZ</w:t>
      </w:r>
    </w:p>
    <w:p w14:paraId="631132D8" w14:textId="77777777" w:rsidR="00526E92" w:rsidRDefault="00526E92" w:rsidP="00526E92">
      <w:pPr>
        <w:tabs>
          <w:tab w:val="left" w:pos="3675"/>
          <w:tab w:val="right" w:pos="9072"/>
        </w:tabs>
        <w:spacing w:after="120"/>
        <w:ind w:right="-2"/>
        <w:jc w:val="center"/>
        <w:rPr>
          <w:rFonts w:ascii="Arial" w:hAnsi="Arial" w:cs="Arial"/>
          <w:b/>
          <w:smallCaps/>
        </w:rPr>
      </w:pPr>
    </w:p>
    <w:p w14:paraId="68DEF94C" w14:textId="7CF1CB4D" w:rsidR="00526E92" w:rsidRPr="00526E92" w:rsidRDefault="00526E92" w:rsidP="00526E92">
      <w:pPr>
        <w:tabs>
          <w:tab w:val="left" w:pos="3675"/>
          <w:tab w:val="right" w:pos="9072"/>
        </w:tabs>
        <w:spacing w:after="120"/>
        <w:ind w:right="-2"/>
        <w:jc w:val="center"/>
        <w:rPr>
          <w:rFonts w:ascii="Arial" w:hAnsi="Arial" w:cs="Arial"/>
          <w:b/>
          <w:smallCaps/>
        </w:rPr>
      </w:pPr>
      <w:r>
        <w:rPr>
          <w:rFonts w:ascii="Arial" w:hAnsi="Arial" w:cs="Arial"/>
          <w:b/>
          <w:smallCaps/>
        </w:rPr>
        <w:t xml:space="preserve">OPIS PRZEDMIOTU ZAMÓWIENIA </w:t>
      </w:r>
    </w:p>
    <w:p w14:paraId="4D0EC781" w14:textId="77777777" w:rsidR="00526E92" w:rsidRPr="00526E92" w:rsidRDefault="00526E92" w:rsidP="00526E92">
      <w:pPr>
        <w:tabs>
          <w:tab w:val="left" w:pos="3675"/>
          <w:tab w:val="right" w:pos="9072"/>
        </w:tabs>
        <w:spacing w:after="120"/>
        <w:ind w:right="-567"/>
        <w:rPr>
          <w:rFonts w:ascii="Arial" w:hAnsi="Arial" w:cs="Arial"/>
          <w:bCs/>
        </w:rPr>
      </w:pPr>
    </w:p>
    <w:p w14:paraId="4B08731C" w14:textId="77777777" w:rsidR="00526E92" w:rsidRPr="00526E92" w:rsidRDefault="00526E92" w:rsidP="00526E92">
      <w:pPr>
        <w:pStyle w:val="Akapitzlist"/>
        <w:numPr>
          <w:ilvl w:val="0"/>
          <w:numId w:val="4"/>
        </w:numPr>
        <w:tabs>
          <w:tab w:val="left" w:pos="3675"/>
          <w:tab w:val="right" w:pos="9072"/>
        </w:tabs>
        <w:spacing w:after="120"/>
        <w:ind w:right="-567"/>
        <w:jc w:val="both"/>
        <w:rPr>
          <w:rFonts w:ascii="Arial" w:hAnsi="Arial" w:cs="Arial"/>
          <w:bCs/>
          <w:sz w:val="22"/>
          <w:szCs w:val="22"/>
        </w:rPr>
      </w:pPr>
      <w:r w:rsidRPr="00526E92">
        <w:rPr>
          <w:rFonts w:ascii="Arial" w:hAnsi="Arial" w:cs="Arial"/>
          <w:bCs/>
          <w:sz w:val="22"/>
          <w:szCs w:val="22"/>
        </w:rPr>
        <w:t xml:space="preserve">Spektrometr </w:t>
      </w:r>
      <w:proofErr w:type="spellStart"/>
      <w:r w:rsidRPr="00526E92">
        <w:rPr>
          <w:rFonts w:ascii="Arial" w:hAnsi="Arial" w:cs="Arial"/>
          <w:bCs/>
          <w:sz w:val="22"/>
          <w:szCs w:val="22"/>
        </w:rPr>
        <w:t>Ramana</w:t>
      </w:r>
      <w:proofErr w:type="spellEnd"/>
      <w:r w:rsidRPr="00526E92">
        <w:rPr>
          <w:rFonts w:ascii="Arial" w:hAnsi="Arial" w:cs="Arial"/>
          <w:bCs/>
          <w:sz w:val="22"/>
          <w:szCs w:val="22"/>
        </w:rPr>
        <w:t xml:space="preserve"> do badań gemmologicznych:</w:t>
      </w:r>
    </w:p>
    <w:p w14:paraId="1E34CB72" w14:textId="77777777" w:rsidR="00526E92" w:rsidRPr="00526E92" w:rsidRDefault="00526E92" w:rsidP="00526E92">
      <w:pPr>
        <w:numPr>
          <w:ilvl w:val="0"/>
          <w:numId w:val="1"/>
        </w:numPr>
        <w:tabs>
          <w:tab w:val="left" w:pos="3675"/>
          <w:tab w:val="right" w:pos="9072"/>
        </w:tabs>
        <w:spacing w:after="120"/>
        <w:ind w:right="-567"/>
        <w:jc w:val="both"/>
        <w:rPr>
          <w:rFonts w:ascii="Arial" w:hAnsi="Arial" w:cs="Arial"/>
          <w:bCs/>
        </w:rPr>
      </w:pPr>
      <w:r w:rsidRPr="00526E92">
        <w:rPr>
          <w:rFonts w:ascii="Arial" w:hAnsi="Arial" w:cs="Arial"/>
          <w:bCs/>
        </w:rPr>
        <w:t>Rozdzielczość: 18 bit A/D</w:t>
      </w:r>
    </w:p>
    <w:p w14:paraId="6A6D98D2" w14:textId="77777777" w:rsidR="00526E92" w:rsidRPr="00526E92" w:rsidRDefault="00526E92" w:rsidP="00526E92">
      <w:pPr>
        <w:numPr>
          <w:ilvl w:val="0"/>
          <w:numId w:val="1"/>
        </w:numPr>
        <w:tabs>
          <w:tab w:val="left" w:pos="3675"/>
          <w:tab w:val="right" w:pos="9072"/>
        </w:tabs>
        <w:spacing w:after="120"/>
        <w:ind w:right="-567"/>
        <w:jc w:val="both"/>
        <w:rPr>
          <w:rFonts w:ascii="Arial" w:hAnsi="Arial" w:cs="Arial"/>
          <w:bCs/>
        </w:rPr>
      </w:pPr>
      <w:r w:rsidRPr="00526E92">
        <w:rPr>
          <w:rFonts w:ascii="Arial" w:hAnsi="Arial" w:cs="Arial"/>
          <w:bCs/>
        </w:rPr>
        <w:t>zakres: ~ 200-7500 cm-1</w:t>
      </w:r>
    </w:p>
    <w:p w14:paraId="098CAA47" w14:textId="77777777" w:rsidR="00526E92" w:rsidRPr="00526E92" w:rsidRDefault="00526E92" w:rsidP="00526E92">
      <w:pPr>
        <w:numPr>
          <w:ilvl w:val="0"/>
          <w:numId w:val="1"/>
        </w:numPr>
        <w:tabs>
          <w:tab w:val="left" w:pos="3675"/>
          <w:tab w:val="right" w:pos="9072"/>
        </w:tabs>
        <w:spacing w:after="120"/>
        <w:ind w:right="-567"/>
        <w:jc w:val="both"/>
        <w:rPr>
          <w:rFonts w:ascii="Arial" w:hAnsi="Arial" w:cs="Arial"/>
          <w:bCs/>
          <w:lang w:val="en-GB"/>
        </w:rPr>
      </w:pPr>
      <w:proofErr w:type="spellStart"/>
      <w:r w:rsidRPr="00526E92">
        <w:rPr>
          <w:rFonts w:ascii="Arial" w:hAnsi="Arial" w:cs="Arial"/>
          <w:bCs/>
          <w:lang w:val="en-GB"/>
        </w:rPr>
        <w:t>kalibracja</w:t>
      </w:r>
      <w:proofErr w:type="spellEnd"/>
      <w:r w:rsidRPr="00526E92">
        <w:rPr>
          <w:rFonts w:ascii="Arial" w:hAnsi="Arial" w:cs="Arial"/>
          <w:bCs/>
          <w:lang w:val="en-GB"/>
        </w:rPr>
        <w:t xml:space="preserve"> </w:t>
      </w:r>
      <w:proofErr w:type="spellStart"/>
      <w:r w:rsidRPr="00526E92">
        <w:rPr>
          <w:rFonts w:ascii="Arial" w:hAnsi="Arial" w:cs="Arial"/>
          <w:bCs/>
          <w:lang w:val="en-GB"/>
        </w:rPr>
        <w:t>identyfikowalna</w:t>
      </w:r>
      <w:proofErr w:type="spellEnd"/>
      <w:r w:rsidRPr="00526E92">
        <w:rPr>
          <w:rFonts w:ascii="Arial" w:hAnsi="Arial" w:cs="Arial"/>
          <w:bCs/>
          <w:lang w:val="en-GB"/>
        </w:rPr>
        <w:t xml:space="preserve"> do NIST</w:t>
      </w:r>
    </w:p>
    <w:p w14:paraId="746D0E2D" w14:textId="77777777" w:rsidR="00526E92" w:rsidRPr="00526E92" w:rsidRDefault="00526E92" w:rsidP="00526E92">
      <w:pPr>
        <w:numPr>
          <w:ilvl w:val="0"/>
          <w:numId w:val="1"/>
        </w:numPr>
        <w:tabs>
          <w:tab w:val="left" w:pos="3675"/>
          <w:tab w:val="right" w:pos="9072"/>
        </w:tabs>
        <w:spacing w:after="120"/>
        <w:ind w:right="-567"/>
        <w:jc w:val="both"/>
        <w:rPr>
          <w:rFonts w:ascii="Arial" w:hAnsi="Arial" w:cs="Arial"/>
          <w:bCs/>
        </w:rPr>
      </w:pPr>
      <w:r w:rsidRPr="00526E92">
        <w:rPr>
          <w:rFonts w:ascii="Arial" w:hAnsi="Arial" w:cs="Arial"/>
          <w:bCs/>
        </w:rPr>
        <w:t>rozdzielczość: 11 cm-1 FWHM</w:t>
      </w:r>
    </w:p>
    <w:p w14:paraId="16C5D0E2" w14:textId="77777777" w:rsidR="00526E92" w:rsidRPr="00526E92" w:rsidRDefault="00526E92" w:rsidP="00526E92">
      <w:pPr>
        <w:numPr>
          <w:ilvl w:val="0"/>
          <w:numId w:val="1"/>
        </w:numPr>
        <w:tabs>
          <w:tab w:val="left" w:pos="3675"/>
          <w:tab w:val="right" w:pos="9072"/>
        </w:tabs>
        <w:spacing w:after="120"/>
        <w:ind w:right="-567"/>
        <w:jc w:val="both"/>
        <w:rPr>
          <w:rFonts w:ascii="Arial" w:hAnsi="Arial" w:cs="Arial"/>
          <w:bCs/>
        </w:rPr>
      </w:pPr>
      <w:r w:rsidRPr="00526E92">
        <w:rPr>
          <w:rFonts w:ascii="Arial" w:hAnsi="Arial" w:cs="Arial"/>
          <w:bCs/>
        </w:rPr>
        <w:t xml:space="preserve">zautomatyzowany system identyfikacji kamieni </w:t>
      </w:r>
      <w:r w:rsidRPr="00526E92">
        <w:rPr>
          <w:rFonts w:ascii="Arial" w:hAnsi="Arial" w:cs="Arial"/>
          <w:color w:val="2B2B2B"/>
          <w:shd w:val="clear" w:color="auto" w:fill="FFFFFF"/>
        </w:rPr>
        <w:t>szlachetnych i ozdobnych</w:t>
      </w:r>
    </w:p>
    <w:p w14:paraId="3DEB1D62" w14:textId="77777777" w:rsidR="00526E92" w:rsidRPr="00526E92" w:rsidRDefault="00526E92" w:rsidP="00526E92">
      <w:pPr>
        <w:numPr>
          <w:ilvl w:val="0"/>
          <w:numId w:val="1"/>
        </w:numPr>
        <w:tabs>
          <w:tab w:val="left" w:pos="3675"/>
          <w:tab w:val="right" w:pos="9072"/>
        </w:tabs>
        <w:spacing w:after="120"/>
        <w:ind w:right="-567"/>
        <w:jc w:val="both"/>
        <w:rPr>
          <w:rFonts w:ascii="Arial" w:hAnsi="Arial" w:cs="Arial"/>
          <w:bCs/>
        </w:rPr>
      </w:pPr>
      <w:r w:rsidRPr="00526E92">
        <w:rPr>
          <w:rFonts w:ascii="Arial" w:hAnsi="Arial" w:cs="Arial"/>
          <w:bCs/>
        </w:rPr>
        <w:t>możliwość analizy kamieni luźnych i oprawionych</w:t>
      </w:r>
    </w:p>
    <w:p w14:paraId="7FD303AD" w14:textId="77777777" w:rsidR="00526E92" w:rsidRPr="00526E92" w:rsidRDefault="00526E92" w:rsidP="00526E92">
      <w:pPr>
        <w:numPr>
          <w:ilvl w:val="0"/>
          <w:numId w:val="1"/>
        </w:numPr>
        <w:tabs>
          <w:tab w:val="left" w:pos="3675"/>
          <w:tab w:val="right" w:pos="9072"/>
        </w:tabs>
        <w:spacing w:after="120"/>
        <w:ind w:right="-567"/>
        <w:jc w:val="both"/>
        <w:rPr>
          <w:rFonts w:ascii="Arial" w:hAnsi="Arial" w:cs="Arial"/>
          <w:bCs/>
        </w:rPr>
      </w:pPr>
      <w:r w:rsidRPr="00526E92">
        <w:rPr>
          <w:rFonts w:ascii="Arial" w:hAnsi="Arial" w:cs="Arial"/>
          <w:bCs/>
        </w:rPr>
        <w:t>dostarczone wraz ze spektrometrem narzędzie do kalibracji lasera</w:t>
      </w:r>
    </w:p>
    <w:p w14:paraId="5D410433" w14:textId="77777777" w:rsidR="00526E92" w:rsidRPr="00526E92" w:rsidRDefault="00526E92" w:rsidP="00526E92">
      <w:pPr>
        <w:numPr>
          <w:ilvl w:val="0"/>
          <w:numId w:val="1"/>
        </w:numPr>
        <w:shd w:val="clear" w:color="auto" w:fill="FFFFFF"/>
        <w:spacing w:after="120"/>
        <w:rPr>
          <w:rFonts w:ascii="Arial" w:eastAsia="Times New Roman" w:hAnsi="Arial" w:cs="Arial"/>
          <w:color w:val="2B2B2B"/>
          <w:lang w:eastAsia="pl-PL"/>
        </w:rPr>
      </w:pPr>
      <w:r w:rsidRPr="00526E92">
        <w:rPr>
          <w:rFonts w:ascii="Arial" w:eastAsia="Times New Roman" w:hAnsi="Arial" w:cs="Arial"/>
          <w:color w:val="2B2B2B"/>
          <w:lang w:eastAsia="pl-PL"/>
        </w:rPr>
        <w:t>niewielka waga umożliwiająca swobodne przenoszenie aparatury, do 8 kg</w:t>
      </w:r>
    </w:p>
    <w:p w14:paraId="224AF837" w14:textId="77777777" w:rsidR="00526E92" w:rsidRPr="00526E92" w:rsidRDefault="00526E92" w:rsidP="00526E92">
      <w:pPr>
        <w:tabs>
          <w:tab w:val="left" w:pos="3675"/>
          <w:tab w:val="right" w:pos="9072"/>
        </w:tabs>
        <w:spacing w:after="120"/>
        <w:ind w:right="-567"/>
        <w:jc w:val="both"/>
        <w:rPr>
          <w:rFonts w:ascii="Arial" w:hAnsi="Arial" w:cs="Arial"/>
          <w:bCs/>
        </w:rPr>
      </w:pPr>
    </w:p>
    <w:p w14:paraId="312107BC" w14:textId="77777777" w:rsidR="00526E92" w:rsidRPr="00526E92" w:rsidRDefault="00526E92" w:rsidP="00526E92">
      <w:pPr>
        <w:pStyle w:val="Akapitzlist"/>
        <w:numPr>
          <w:ilvl w:val="0"/>
          <w:numId w:val="4"/>
        </w:numPr>
        <w:tabs>
          <w:tab w:val="left" w:pos="3675"/>
          <w:tab w:val="right" w:pos="9072"/>
        </w:tabs>
        <w:spacing w:after="120"/>
        <w:ind w:right="-567"/>
        <w:jc w:val="both"/>
        <w:rPr>
          <w:rFonts w:ascii="Arial" w:hAnsi="Arial" w:cs="Arial"/>
          <w:bCs/>
          <w:sz w:val="22"/>
          <w:szCs w:val="22"/>
        </w:rPr>
      </w:pPr>
      <w:r w:rsidRPr="00526E92">
        <w:rPr>
          <w:rFonts w:ascii="Arial" w:hAnsi="Arial" w:cs="Arial"/>
          <w:bCs/>
          <w:sz w:val="22"/>
          <w:szCs w:val="22"/>
        </w:rPr>
        <w:t xml:space="preserve"> Spektrometr UV-Vis-NIR do badań gemmologicznych:</w:t>
      </w:r>
    </w:p>
    <w:p w14:paraId="5B328226" w14:textId="77777777" w:rsidR="00526E92" w:rsidRPr="00526E92" w:rsidRDefault="00526E92" w:rsidP="00526E92">
      <w:pPr>
        <w:numPr>
          <w:ilvl w:val="0"/>
          <w:numId w:val="2"/>
        </w:numPr>
        <w:shd w:val="clear" w:color="auto" w:fill="FFFFFF"/>
        <w:spacing w:after="120"/>
        <w:rPr>
          <w:rFonts w:ascii="Arial" w:eastAsia="Times New Roman" w:hAnsi="Arial" w:cs="Arial"/>
          <w:color w:val="2B2B2B"/>
          <w:lang w:eastAsia="pl-PL"/>
        </w:rPr>
      </w:pPr>
      <w:r w:rsidRPr="00526E92">
        <w:rPr>
          <w:rFonts w:ascii="Arial" w:eastAsia="Times New Roman" w:hAnsi="Arial" w:cs="Arial"/>
          <w:color w:val="2B2B2B"/>
          <w:lang w:eastAsia="pl-PL"/>
        </w:rPr>
        <w:t xml:space="preserve">rozdzielczość: ~ 1.3 </w:t>
      </w:r>
      <w:proofErr w:type="spellStart"/>
      <w:r w:rsidRPr="00526E92">
        <w:rPr>
          <w:rFonts w:ascii="Arial" w:eastAsia="Times New Roman" w:hAnsi="Arial" w:cs="Arial"/>
          <w:color w:val="2B2B2B"/>
          <w:lang w:eastAsia="pl-PL"/>
        </w:rPr>
        <w:t>nm</w:t>
      </w:r>
      <w:proofErr w:type="spellEnd"/>
    </w:p>
    <w:p w14:paraId="3BB7D741" w14:textId="77777777" w:rsidR="00526E92" w:rsidRPr="00526E92" w:rsidRDefault="00526E92" w:rsidP="00526E92">
      <w:pPr>
        <w:numPr>
          <w:ilvl w:val="0"/>
          <w:numId w:val="2"/>
        </w:numPr>
        <w:shd w:val="clear" w:color="auto" w:fill="FFFFFF"/>
        <w:spacing w:after="120"/>
        <w:rPr>
          <w:rFonts w:ascii="Arial" w:eastAsia="Times New Roman" w:hAnsi="Arial" w:cs="Arial"/>
          <w:color w:val="2B2B2B"/>
          <w:lang w:val="en-GB" w:eastAsia="pl-PL"/>
        </w:rPr>
      </w:pPr>
      <w:proofErr w:type="spellStart"/>
      <w:r w:rsidRPr="00526E92">
        <w:rPr>
          <w:rFonts w:ascii="Arial" w:eastAsia="Times New Roman" w:hAnsi="Arial" w:cs="Arial"/>
          <w:color w:val="2B2B2B"/>
          <w:lang w:val="en-GB" w:eastAsia="pl-PL"/>
        </w:rPr>
        <w:t>zakres</w:t>
      </w:r>
      <w:proofErr w:type="spellEnd"/>
      <w:r w:rsidRPr="00526E92">
        <w:rPr>
          <w:rFonts w:ascii="Arial" w:eastAsia="Times New Roman" w:hAnsi="Arial" w:cs="Arial"/>
          <w:color w:val="2B2B2B"/>
          <w:lang w:val="en-GB" w:eastAsia="pl-PL"/>
        </w:rPr>
        <w:t>: 365 – 1000 nm</w:t>
      </w:r>
    </w:p>
    <w:p w14:paraId="16C99E39" w14:textId="77777777" w:rsidR="00526E92" w:rsidRPr="00526E92" w:rsidRDefault="00526E92" w:rsidP="00526E92">
      <w:pPr>
        <w:numPr>
          <w:ilvl w:val="0"/>
          <w:numId w:val="2"/>
        </w:numPr>
        <w:shd w:val="clear" w:color="auto" w:fill="FFFFFF"/>
        <w:spacing w:after="120"/>
        <w:rPr>
          <w:rFonts w:ascii="Arial" w:eastAsia="Times New Roman" w:hAnsi="Arial" w:cs="Arial"/>
          <w:color w:val="2B2B2B"/>
          <w:lang w:eastAsia="pl-PL"/>
        </w:rPr>
      </w:pPr>
      <w:r w:rsidRPr="00526E92">
        <w:rPr>
          <w:rFonts w:ascii="Arial" w:eastAsia="Times New Roman" w:hAnsi="Arial" w:cs="Arial"/>
          <w:color w:val="2B2B2B"/>
          <w:lang w:eastAsia="pl-PL"/>
        </w:rPr>
        <w:t>rozdzielczość 16-bit A/D</w:t>
      </w:r>
    </w:p>
    <w:p w14:paraId="4FC7C0BB" w14:textId="77777777" w:rsidR="00526E92" w:rsidRPr="00526E92" w:rsidRDefault="00526E92" w:rsidP="00526E92">
      <w:pPr>
        <w:numPr>
          <w:ilvl w:val="0"/>
          <w:numId w:val="2"/>
        </w:numPr>
        <w:shd w:val="clear" w:color="auto" w:fill="FFFFFF"/>
        <w:spacing w:after="120"/>
        <w:rPr>
          <w:rFonts w:ascii="Arial" w:eastAsia="Times New Roman" w:hAnsi="Arial" w:cs="Arial"/>
          <w:color w:val="2B2B2B"/>
          <w:lang w:eastAsia="pl-PL"/>
        </w:rPr>
      </w:pPr>
      <w:r w:rsidRPr="00526E92">
        <w:rPr>
          <w:rFonts w:ascii="Arial" w:eastAsia="Times New Roman" w:hAnsi="Arial" w:cs="Arial"/>
          <w:color w:val="2B2B2B"/>
          <w:lang w:eastAsia="pl-PL"/>
        </w:rPr>
        <w:t>niewielka waga umożliwiająca swobodne przenoszenie aparatury, do 6 kg</w:t>
      </w:r>
    </w:p>
    <w:p w14:paraId="3D399F79" w14:textId="77777777" w:rsidR="00526E92" w:rsidRPr="00526E92" w:rsidRDefault="00526E92" w:rsidP="00526E92">
      <w:pPr>
        <w:tabs>
          <w:tab w:val="left" w:pos="3675"/>
          <w:tab w:val="right" w:pos="9072"/>
        </w:tabs>
        <w:spacing w:after="120"/>
        <w:ind w:right="-567"/>
        <w:jc w:val="both"/>
        <w:rPr>
          <w:rFonts w:ascii="Arial" w:hAnsi="Arial" w:cs="Arial"/>
          <w:color w:val="2B2B2B"/>
          <w:shd w:val="clear" w:color="auto" w:fill="FFFFFF"/>
        </w:rPr>
      </w:pPr>
    </w:p>
    <w:p w14:paraId="66A7C11E" w14:textId="77777777" w:rsidR="00526E92" w:rsidRPr="00526E92" w:rsidRDefault="00526E92" w:rsidP="00526E92">
      <w:pPr>
        <w:pStyle w:val="Akapitzlist"/>
        <w:numPr>
          <w:ilvl w:val="0"/>
          <w:numId w:val="4"/>
        </w:numPr>
        <w:tabs>
          <w:tab w:val="left" w:pos="3675"/>
          <w:tab w:val="right" w:pos="9072"/>
        </w:tabs>
        <w:spacing w:after="120"/>
        <w:jc w:val="both"/>
        <w:rPr>
          <w:rFonts w:ascii="Arial" w:hAnsi="Arial" w:cs="Arial"/>
          <w:color w:val="2B2B2B"/>
          <w:sz w:val="22"/>
          <w:szCs w:val="22"/>
        </w:rPr>
      </w:pPr>
      <w:r w:rsidRPr="00526E92">
        <w:rPr>
          <w:rFonts w:ascii="Arial" w:hAnsi="Arial" w:cs="Arial"/>
          <w:color w:val="2B2B2B"/>
          <w:sz w:val="22"/>
          <w:szCs w:val="22"/>
          <w:shd w:val="clear" w:color="auto" w:fill="FFFFFF"/>
        </w:rPr>
        <w:t xml:space="preserve">Komputer przenośny (laptop) z zainstalowanym oprogramowaniem do obsługi spektrometrów i </w:t>
      </w:r>
      <w:r w:rsidRPr="00526E92">
        <w:rPr>
          <w:rFonts w:ascii="Arial" w:hAnsi="Arial" w:cs="Arial"/>
          <w:color w:val="2B2B2B"/>
          <w:sz w:val="22"/>
          <w:szCs w:val="22"/>
        </w:rPr>
        <w:t xml:space="preserve">biblioteką widm </w:t>
      </w:r>
      <w:proofErr w:type="spellStart"/>
      <w:r w:rsidRPr="00526E92">
        <w:rPr>
          <w:rFonts w:ascii="Arial" w:hAnsi="Arial" w:cs="Arial"/>
          <w:color w:val="2B2B2B"/>
          <w:sz w:val="22"/>
          <w:szCs w:val="22"/>
        </w:rPr>
        <w:t>Ramana</w:t>
      </w:r>
      <w:proofErr w:type="spellEnd"/>
      <w:r w:rsidRPr="00526E92">
        <w:rPr>
          <w:rFonts w:ascii="Arial" w:hAnsi="Arial" w:cs="Arial"/>
          <w:color w:val="2B2B2B"/>
          <w:sz w:val="22"/>
          <w:szCs w:val="22"/>
        </w:rPr>
        <w:t xml:space="preserve">, PL i </w:t>
      </w:r>
      <w:r w:rsidRPr="00526E92">
        <w:rPr>
          <w:rFonts w:ascii="Arial" w:hAnsi="Arial" w:cs="Arial"/>
          <w:bCs/>
          <w:sz w:val="22"/>
          <w:szCs w:val="22"/>
        </w:rPr>
        <w:t>UV-Vis-NIR</w:t>
      </w:r>
      <w:r w:rsidRPr="00526E92">
        <w:rPr>
          <w:rFonts w:ascii="Arial" w:hAnsi="Arial" w:cs="Arial"/>
          <w:color w:val="2B2B2B"/>
          <w:sz w:val="22"/>
          <w:szCs w:val="22"/>
        </w:rPr>
        <w:t>; bezpłatna aktualizacja biblioteki przez Internet; oprogramowanie umożliwiające równoczesne porównywanie do 50 widm.</w:t>
      </w:r>
    </w:p>
    <w:p w14:paraId="4CA885C6" w14:textId="77777777" w:rsidR="00526E92" w:rsidRPr="00526E92" w:rsidRDefault="00526E92" w:rsidP="00526E92">
      <w:pPr>
        <w:spacing w:after="0" w:line="240" w:lineRule="auto"/>
        <w:ind w:left="360"/>
        <w:jc w:val="both"/>
        <w:rPr>
          <w:rFonts w:ascii="Arial" w:hAnsi="Arial" w:cs="Arial"/>
          <w:color w:val="000000" w:themeColor="text1"/>
        </w:rPr>
      </w:pPr>
      <w:r w:rsidRPr="00526E92">
        <w:rPr>
          <w:rFonts w:ascii="Arial" w:hAnsi="Arial" w:cs="Arial"/>
          <w:color w:val="000000" w:themeColor="text1"/>
        </w:rPr>
        <w:t xml:space="preserve">Parametry laptopa – laptop o nie gorszych parametrach niż: CPU </w:t>
      </w:r>
      <w:proofErr w:type="spellStart"/>
      <w:r w:rsidRPr="00526E92">
        <w:rPr>
          <w:rFonts w:ascii="Arial" w:hAnsi="Arial" w:cs="Arial"/>
          <w:color w:val="000000" w:themeColor="text1"/>
        </w:rPr>
        <w:t>Core</w:t>
      </w:r>
      <w:proofErr w:type="spellEnd"/>
      <w:r w:rsidRPr="00526E92">
        <w:rPr>
          <w:rFonts w:ascii="Arial" w:hAnsi="Arial" w:cs="Arial"/>
          <w:color w:val="000000" w:themeColor="text1"/>
        </w:rPr>
        <w:t xml:space="preserve"> Ultra|u5-235U, 2000 MHz; RAM 16 GB, DDR5, 5600 MHz; SSD 512 GB; Windows 11 Pro; Okres gwarancji: min. 12 miesięcy.</w:t>
      </w:r>
    </w:p>
    <w:p w14:paraId="7820C9A7" w14:textId="77777777" w:rsidR="00526E92" w:rsidRPr="00526E92" w:rsidRDefault="00526E92" w:rsidP="00526E92">
      <w:pPr>
        <w:spacing w:after="0" w:line="240" w:lineRule="auto"/>
        <w:ind w:left="720"/>
        <w:jc w:val="both"/>
        <w:rPr>
          <w:rFonts w:ascii="Arial" w:hAnsi="Arial" w:cs="Arial"/>
          <w:color w:val="000000" w:themeColor="text1"/>
        </w:rPr>
      </w:pPr>
    </w:p>
    <w:p w14:paraId="1CE50BDF" w14:textId="77777777" w:rsidR="00526E92" w:rsidRPr="00526E92" w:rsidRDefault="00526E92" w:rsidP="00526E92">
      <w:pPr>
        <w:pStyle w:val="Akapitzlist"/>
        <w:numPr>
          <w:ilvl w:val="0"/>
          <w:numId w:val="4"/>
        </w:numPr>
        <w:tabs>
          <w:tab w:val="left" w:pos="3675"/>
          <w:tab w:val="right" w:pos="9072"/>
        </w:tabs>
        <w:spacing w:after="120"/>
        <w:ind w:right="-567"/>
        <w:jc w:val="both"/>
        <w:rPr>
          <w:rFonts w:ascii="Arial" w:hAnsi="Arial" w:cs="Arial"/>
          <w:color w:val="2B2B2B"/>
          <w:sz w:val="22"/>
          <w:szCs w:val="22"/>
          <w:shd w:val="clear" w:color="auto" w:fill="FFFFFF"/>
        </w:rPr>
      </w:pPr>
      <w:r w:rsidRPr="00526E92">
        <w:rPr>
          <w:rFonts w:ascii="Arial" w:hAnsi="Arial" w:cs="Arial"/>
          <w:color w:val="2B2B2B"/>
          <w:sz w:val="22"/>
          <w:szCs w:val="22"/>
          <w:shd w:val="clear" w:color="auto" w:fill="FFFFFF"/>
        </w:rPr>
        <w:t>Dodatkowe wymagania:</w:t>
      </w:r>
    </w:p>
    <w:p w14:paraId="1A053BC3" w14:textId="77777777" w:rsidR="00526E92" w:rsidRPr="00526E92" w:rsidRDefault="00526E92" w:rsidP="00526E92">
      <w:pPr>
        <w:pStyle w:val="Akapitzlist"/>
        <w:numPr>
          <w:ilvl w:val="0"/>
          <w:numId w:val="3"/>
        </w:numPr>
        <w:shd w:val="clear" w:color="auto" w:fill="FFFFFF"/>
        <w:spacing w:after="120"/>
        <w:rPr>
          <w:rFonts w:ascii="Arial" w:hAnsi="Arial" w:cs="Arial"/>
          <w:color w:val="2B2B2B"/>
          <w:sz w:val="22"/>
          <w:szCs w:val="22"/>
        </w:rPr>
      </w:pPr>
      <w:r w:rsidRPr="00526E92">
        <w:rPr>
          <w:rFonts w:ascii="Arial" w:hAnsi="Arial" w:cs="Arial"/>
          <w:color w:val="2B2B2B"/>
          <w:sz w:val="22"/>
          <w:szCs w:val="22"/>
        </w:rPr>
        <w:t>możliwość instalacji i uruchomienia aparatury przez użytkownika, bez konieczności udziału przedstawiciela wykonawcy;</w:t>
      </w:r>
    </w:p>
    <w:p w14:paraId="55D261D5" w14:textId="77777777" w:rsidR="00526E92" w:rsidRPr="00526E92" w:rsidRDefault="00526E92" w:rsidP="00526E92">
      <w:pPr>
        <w:pStyle w:val="Akapitzlist"/>
        <w:numPr>
          <w:ilvl w:val="0"/>
          <w:numId w:val="3"/>
        </w:numPr>
        <w:shd w:val="clear" w:color="auto" w:fill="FFFFFF"/>
        <w:spacing w:after="120"/>
        <w:rPr>
          <w:rFonts w:ascii="Arial" w:hAnsi="Arial" w:cs="Arial"/>
          <w:color w:val="2B2B2B"/>
          <w:sz w:val="22"/>
          <w:szCs w:val="22"/>
        </w:rPr>
      </w:pPr>
      <w:r w:rsidRPr="00526E92">
        <w:rPr>
          <w:rFonts w:ascii="Arial" w:hAnsi="Arial" w:cs="Arial"/>
          <w:bCs/>
          <w:sz w:val="22"/>
          <w:szCs w:val="22"/>
        </w:rPr>
        <w:t>minimalny okres gwarancji na aparaturę: 24 miesiące;</w:t>
      </w:r>
    </w:p>
    <w:p w14:paraId="030018DA" w14:textId="77777777" w:rsidR="00526E92" w:rsidRPr="00526E92" w:rsidRDefault="00526E92" w:rsidP="00526E92">
      <w:pPr>
        <w:pStyle w:val="Akapitzlist"/>
        <w:numPr>
          <w:ilvl w:val="0"/>
          <w:numId w:val="3"/>
        </w:numPr>
        <w:shd w:val="clear" w:color="auto" w:fill="FFFFFF"/>
        <w:spacing w:after="120"/>
        <w:rPr>
          <w:rFonts w:ascii="Arial" w:hAnsi="Arial" w:cs="Arial"/>
          <w:color w:val="2B2B2B"/>
          <w:sz w:val="22"/>
          <w:szCs w:val="22"/>
        </w:rPr>
      </w:pPr>
      <w:r w:rsidRPr="00526E92">
        <w:rPr>
          <w:rFonts w:ascii="Arial" w:hAnsi="Arial" w:cs="Arial"/>
          <w:color w:val="000000"/>
          <w:sz w:val="22"/>
          <w:szCs w:val="22"/>
        </w:rPr>
        <w:t>czas reakcji serwisu – do 48 godzin od momentu zgłoszenia awarii;</w:t>
      </w:r>
    </w:p>
    <w:p w14:paraId="35C608F6" w14:textId="77777777" w:rsidR="00526E92" w:rsidRPr="00526E92" w:rsidRDefault="00526E92" w:rsidP="00526E92">
      <w:pPr>
        <w:pStyle w:val="Akapitzlist"/>
        <w:numPr>
          <w:ilvl w:val="0"/>
          <w:numId w:val="3"/>
        </w:numPr>
        <w:shd w:val="clear" w:color="auto" w:fill="FFFFFF"/>
        <w:spacing w:after="120"/>
        <w:jc w:val="both"/>
        <w:rPr>
          <w:rFonts w:ascii="Arial" w:hAnsi="Arial" w:cs="Arial"/>
          <w:color w:val="2B2B2B"/>
          <w:sz w:val="22"/>
          <w:szCs w:val="22"/>
        </w:rPr>
      </w:pPr>
      <w:r w:rsidRPr="00526E92">
        <w:rPr>
          <w:rFonts w:ascii="Arial" w:hAnsi="Arial" w:cs="Arial"/>
          <w:color w:val="000000"/>
          <w:sz w:val="22"/>
          <w:szCs w:val="22"/>
        </w:rPr>
        <w:t>czas naprawy – do 30 dni roboczych od momentu zgłoszenia awarii, do 90 dnia w przypadku konieczności sprowadzania części z zagranicy;</w:t>
      </w:r>
    </w:p>
    <w:p w14:paraId="09528DD4" w14:textId="77777777" w:rsidR="00526E92" w:rsidRPr="00526E92" w:rsidRDefault="00526E92" w:rsidP="00526E92">
      <w:pPr>
        <w:pStyle w:val="Akapitzlist"/>
        <w:numPr>
          <w:ilvl w:val="0"/>
          <w:numId w:val="3"/>
        </w:numPr>
        <w:shd w:val="clear" w:color="auto" w:fill="FFFFFF"/>
        <w:spacing w:after="120"/>
        <w:jc w:val="both"/>
        <w:rPr>
          <w:rFonts w:ascii="Arial" w:hAnsi="Arial" w:cs="Arial"/>
          <w:color w:val="2B2B2B"/>
          <w:sz w:val="22"/>
          <w:szCs w:val="22"/>
        </w:rPr>
      </w:pPr>
      <w:r w:rsidRPr="00526E92">
        <w:rPr>
          <w:rFonts w:ascii="Arial" w:hAnsi="Arial" w:cs="Arial"/>
          <w:color w:val="000000"/>
          <w:sz w:val="22"/>
          <w:szCs w:val="22"/>
        </w:rPr>
        <w:t>maksymalny okres realizacji zamówienia: 15 tygodni od dnia podpisania umowy.</w:t>
      </w:r>
    </w:p>
    <w:p w14:paraId="15866143" w14:textId="77777777" w:rsidR="00E846D0" w:rsidRDefault="00E846D0"/>
    <w:sectPr w:rsidR="00E846D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7348C" w14:textId="77777777" w:rsidR="00C67E36" w:rsidRDefault="00C67E36" w:rsidP="00C67E36">
      <w:pPr>
        <w:spacing w:after="0" w:line="240" w:lineRule="auto"/>
      </w:pPr>
      <w:r>
        <w:separator/>
      </w:r>
    </w:p>
  </w:endnote>
  <w:endnote w:type="continuationSeparator" w:id="0">
    <w:p w14:paraId="4473CE40" w14:textId="77777777" w:rsidR="00C67E36" w:rsidRDefault="00C67E36" w:rsidP="00C67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90B30" w14:textId="77777777" w:rsidR="00C67E36" w:rsidRDefault="00C67E36" w:rsidP="00C67E36">
      <w:pPr>
        <w:spacing w:after="0" w:line="240" w:lineRule="auto"/>
      </w:pPr>
      <w:r>
        <w:separator/>
      </w:r>
    </w:p>
  </w:footnote>
  <w:footnote w:type="continuationSeparator" w:id="0">
    <w:p w14:paraId="0474BA48" w14:textId="77777777" w:rsidR="00C67E36" w:rsidRDefault="00C67E36" w:rsidP="00C67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5E17C" w14:textId="77777777" w:rsidR="00C67E36" w:rsidRDefault="00C67E36" w:rsidP="00C67E36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0FF4205" w14:textId="22BB0468" w:rsidR="00C67E36" w:rsidRPr="00C67E36" w:rsidRDefault="00C67E36" w:rsidP="00C67E36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ZP3/7104/2</w:t>
    </w:r>
    <w:r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25C31"/>
    <w:multiLevelType w:val="hybridMultilevel"/>
    <w:tmpl w:val="FBE4E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F7027"/>
    <w:multiLevelType w:val="multilevel"/>
    <w:tmpl w:val="9C20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1F2771"/>
    <w:multiLevelType w:val="hybridMultilevel"/>
    <w:tmpl w:val="C0005600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38D1179"/>
    <w:multiLevelType w:val="multilevel"/>
    <w:tmpl w:val="F7E6D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92"/>
    <w:rsid w:val="00526E92"/>
    <w:rsid w:val="00C67E36"/>
    <w:rsid w:val="00E8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1E0D9"/>
  <w15:chartTrackingRefBased/>
  <w15:docId w15:val="{164F11A2-C08D-4831-B9EB-40600B68E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E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6E9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C67E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7E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67E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7E3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Dział Zamówień Publicznych</dc:creator>
  <cp:keywords/>
  <dc:description/>
  <cp:lastModifiedBy>Dział Zamówień Publicznych</cp:lastModifiedBy>
  <cp:revision>2</cp:revision>
  <dcterms:created xsi:type="dcterms:W3CDTF">2026-02-12T12:50:00Z</dcterms:created>
  <dcterms:modified xsi:type="dcterms:W3CDTF">2026-02-12T12:53:00Z</dcterms:modified>
</cp:coreProperties>
</file>