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FE0416" w:rsidRDefault="002A678A" w:rsidP="002A678A">
      <w:pPr>
        <w:tabs>
          <w:tab w:val="left" w:pos="6122"/>
          <w:tab w:val="left" w:pos="13369"/>
        </w:tabs>
        <w:rPr>
          <w:rFonts w:ascii="Arial Narrow" w:hAnsi="Arial Narrow" w:cs="Arial"/>
          <w:b/>
          <w:sz w:val="22"/>
          <w:szCs w:val="22"/>
        </w:rPr>
      </w:pPr>
      <w:r w:rsidRPr="00FE0416">
        <w:rPr>
          <w:rFonts w:ascii="Arial Narrow" w:hAnsi="Arial Narrow" w:cs="Arial"/>
          <w:b/>
          <w:sz w:val="22"/>
          <w:szCs w:val="22"/>
        </w:rPr>
        <w:t>Sprawa nr 34/2026</w:t>
      </w:r>
      <w:r w:rsidRPr="00FE0416">
        <w:rPr>
          <w:rFonts w:ascii="Arial Narrow" w:hAnsi="Arial Narrow" w:cs="Arial"/>
          <w:b/>
          <w:sz w:val="22"/>
          <w:szCs w:val="22"/>
        </w:rPr>
        <w:tab/>
        <w:t xml:space="preserve">     SPECYFIKACJA TECHNICZNA                                                       Załącznik nr 6 do SWZ</w:t>
      </w: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93D9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93D9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93D9B" w:rsidRDefault="00930474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93D9B">
              <w:rPr>
                <w:rFonts w:ascii="Arial" w:hAnsi="Arial" w:cs="Arial"/>
                <w:b w:val="0"/>
                <w:sz w:val="22"/>
                <w:szCs w:val="22"/>
              </w:rPr>
              <w:t>System manometrii wysokiej rozdzielczości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93D9B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93D9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FE0416" w:rsidRDefault="00FE0416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FE0416" w:rsidRDefault="00FE0416" w:rsidP="00E50CD1">
      <w:pPr>
        <w:rPr>
          <w:rFonts w:ascii="Arial Narrow" w:hAnsi="Arial Narrow" w:cs="Arial"/>
          <w:b/>
          <w:sz w:val="22"/>
          <w:szCs w:val="22"/>
        </w:rPr>
      </w:pPr>
      <w:r w:rsidRPr="00FE0416">
        <w:rPr>
          <w:rFonts w:ascii="Arial Narrow" w:hAnsi="Arial Narrow" w:cs="Arial"/>
          <w:b/>
          <w:sz w:val="22"/>
          <w:szCs w:val="22"/>
        </w:rPr>
        <w:t>ZADANIE 1</w:t>
      </w:r>
    </w:p>
    <w:p w:rsidR="00E50CD1" w:rsidRPr="00193D9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14"/>
        <w:gridCol w:w="158"/>
        <w:gridCol w:w="10936"/>
        <w:gridCol w:w="569"/>
        <w:gridCol w:w="1417"/>
        <w:gridCol w:w="702"/>
        <w:gridCol w:w="6"/>
        <w:gridCol w:w="1436"/>
      </w:tblGrid>
      <w:tr w:rsidR="00E50CD1" w:rsidRPr="00193D9B" w:rsidTr="00F22941">
        <w:trPr>
          <w:cantSplit/>
          <w:trHeight w:val="148"/>
          <w:jc w:val="center"/>
        </w:trPr>
        <w:tc>
          <w:tcPr>
            <w:tcW w:w="1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93D9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93D9B" w:rsidRDefault="00E50CD1" w:rsidP="004369F7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93D9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93D9B" w:rsidRDefault="00E50CD1" w:rsidP="004369F7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6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93D9B" w:rsidRDefault="00E50CD1" w:rsidP="00836C82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6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93D9B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93D9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93D9B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93D9B" w:rsidTr="00F22941">
        <w:trPr>
          <w:cantSplit/>
          <w:trHeight w:val="337"/>
          <w:jc w:val="center"/>
        </w:trPr>
        <w:tc>
          <w:tcPr>
            <w:tcW w:w="5000" w:type="pct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93D9B" w:rsidRDefault="00930474" w:rsidP="004369F7">
            <w:pPr>
              <w:ind w:left="360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Zestaw wysokiej rozdzielczości do diagnostyki przewodu pokarmowego – 1 zestaw</w:t>
            </w:r>
          </w:p>
        </w:tc>
      </w:tr>
      <w:tr w:rsidR="00930474" w:rsidRPr="00193D9B" w:rsidTr="00F22941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Stacja robocza przeznaczona do współpracy z dedykowanym medycznym oprogramowaniem analitycznym do pobierania danych i analizy ciśnień, do analizy i rejestracji </w:t>
            </w:r>
            <w:proofErr w:type="spellStart"/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>pH</w:t>
            </w:r>
            <w:proofErr w:type="spellEnd"/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>pH</w:t>
            </w:r>
            <w:proofErr w:type="spellEnd"/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impedancją,</w:t>
            </w:r>
            <w:r w:rsidRPr="00193D9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wyposażona we wszystkie niezbędne elementy wymagane do pracy – osprzęt i oprogramowanie w języku polskim, Windows </w:t>
            </w: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>10 Pro lub wyższy, MS Word, drukarka kolorowa, dotykowy monitor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podać, opisać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Wózek jezdny z blokowanymi kółkami, transformatorem wyposażonym w 4 gniazda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 xml:space="preserve">System automatycznej kalibracji cewników wysokiej rozdzielczości w zakresie 0-300 mm </w:t>
            </w:r>
            <w:proofErr w:type="spellStart"/>
            <w:r w:rsidRPr="00193D9B">
              <w:rPr>
                <w:rFonts w:ascii="Arial" w:hAnsi="Arial" w:cs="Arial"/>
                <w:sz w:val="22"/>
                <w:szCs w:val="22"/>
              </w:rPr>
              <w:t>Hg</w:t>
            </w:r>
            <w:proofErr w:type="spellEnd"/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Modułowy procesor do pobierania parametrów ciśnienia górnego i dolnego odcinka przewodu pokarmowego, moduł manometrii przełykowej z impedancją, moduł manometrii </w:t>
            </w:r>
            <w:proofErr w:type="spellStart"/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>anorektalnej</w:t>
            </w:r>
            <w:proofErr w:type="spellEnd"/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wysokiej rozdzielczości 3D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 xml:space="preserve">Moduł wysokiej rozdzielczości manometrii przełykowej 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37"/>
          <w:jc w:val="center"/>
        </w:trPr>
        <w:tc>
          <w:tcPr>
            <w:tcW w:w="5000" w:type="pct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59632C">
            <w:pPr>
              <w:ind w:left="360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>Oprogramowanie analityczne do przełykowej manometrii wysokiej rozdzielczości</w:t>
            </w: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tabs>
                <w:tab w:val="left" w:pos="352"/>
              </w:tabs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Oprogramowanie w języku polskim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Wbudowane szczegółowe instrukcje dla prowadzącego badanie na każdym etapie klinicznego protokołu badawczego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Obraz ciśnień wysokiej rozdzielczości i impedancji przedstawiony w czasie rzeczywistym w postaci skali barwowej lub konwencjonalnych liniowych przebiegów ciśnienia z możliwością zmiany trybu wyświetlania: przebiegi liniowe/kontury barwowe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Wartości ciśnienia wyświetlane na tle anatomicznego obrazu przełyku z uwidocznieniem graficznych markerów UES, LES, PIP i ich parametrów odległościowych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Funkcja wprowadzenia zdarzeń typu przełknięcie, kaszel i innych definiowanych przez użytkownika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Analiza parametrów zmiany ciśnienia w wybranym przez użytkownika obszarze rejestracji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Funkcja generowania elektronicznego sensora pokazującego maksymalne ciśnienie w granicach zdefiniowanych przez użytkownika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Charakterystyka przełknięć w oparciu o automatyczną analizę parametrów klasyfikacji chicagowskiej: DCI,  CDP, DL, IRP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64C18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Przeglądanie przebiegu zarejestrowanego badania w postaci dynamicznego odtworzenia badania lub obrazów statycznych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Raport z badania w postaci dokumentu zgodnego z formatem DOC lub PDF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Generowanie raportu z badania z parametrami:</w:t>
            </w:r>
          </w:p>
          <w:p w:rsidR="00930474" w:rsidRPr="00193D9B" w:rsidRDefault="00930474" w:rsidP="00930474">
            <w:pPr>
              <w:pStyle w:val="Default"/>
              <w:numPr>
                <w:ilvl w:val="0"/>
                <w:numId w:val="17"/>
              </w:numPr>
              <w:suppressAutoHyphens/>
              <w:autoSpaceDE/>
              <w:adjustRightInd/>
              <w:ind w:left="361" w:hanging="361"/>
              <w:textAlignment w:val="baseline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LES, przepony, punktu inwersji ciśnień,</w:t>
            </w:r>
          </w:p>
          <w:p w:rsidR="00930474" w:rsidRPr="00193D9B" w:rsidRDefault="00930474" w:rsidP="00930474">
            <w:pPr>
              <w:pStyle w:val="Default"/>
              <w:numPr>
                <w:ilvl w:val="0"/>
                <w:numId w:val="17"/>
              </w:numPr>
              <w:suppressAutoHyphens/>
              <w:autoSpaceDE/>
              <w:adjustRightInd/>
              <w:ind w:left="361" w:hanging="361"/>
              <w:textAlignment w:val="baseline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motoryki trzonu przełyku,</w:t>
            </w:r>
          </w:p>
          <w:p w:rsidR="00930474" w:rsidRPr="00193D9B" w:rsidRDefault="00930474" w:rsidP="00930474">
            <w:pPr>
              <w:pStyle w:val="Default"/>
              <w:numPr>
                <w:ilvl w:val="0"/>
                <w:numId w:val="17"/>
              </w:numPr>
              <w:suppressAutoHyphens/>
              <w:autoSpaceDE/>
              <w:adjustRightInd/>
              <w:ind w:left="361" w:hanging="361"/>
              <w:textAlignment w:val="baseline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UES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Dołączanie charakterystyki przełknięć wg klasyfikacji chicagowskiej: DCI, CDP</w:t>
            </w:r>
            <w:r w:rsidRPr="00193D9B">
              <w:rPr>
                <w:rFonts w:ascii="Arial" w:hAnsi="Arial" w:cs="Arial"/>
                <w:bCs/>
                <w:strike/>
                <w:sz w:val="22"/>
                <w:szCs w:val="22"/>
              </w:rPr>
              <w:t>,</w:t>
            </w:r>
            <w:r w:rsidRPr="00193D9B">
              <w:rPr>
                <w:rFonts w:ascii="Arial" w:hAnsi="Arial" w:cs="Arial"/>
                <w:bCs/>
                <w:sz w:val="22"/>
                <w:szCs w:val="22"/>
              </w:rPr>
              <w:t xml:space="preserve"> DL, IRP, </w:t>
            </w:r>
            <w:r w:rsidRPr="00193D9B">
              <w:rPr>
                <w:rFonts w:ascii="Arial" w:hAnsi="Arial" w:cs="Arial"/>
                <w:color w:val="000000"/>
                <w:sz w:val="22"/>
                <w:szCs w:val="22"/>
              </w:rPr>
              <w:t>CFV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Dołączanie do raportu opisu procedury badawczej, wskazań do badania oraz interpretacji i komentarzy wprowadzanych przez użytkownika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3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Dołączanie do raportu opisu procedury badawczej, wskazań do badania oraz interpretacji i komentarzy z wykorzystaniem zdefiniowanych wzorców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Standard"/>
              <w:keepNext/>
              <w:outlineLvl w:val="2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Możliwość dołączenia do raportu graficznych obrazów zdarzeń typu przełknięcie w postaci barwowego obrazu wysokiej rozdzielczości i klasycznych liniowych przebiegów zmiany ciśnienia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5000" w:type="pct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64C18">
            <w:pPr>
              <w:ind w:left="360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Przełykowy cewnik wysokiej rozdzielczości z impedancją – 1 szt.</w:t>
            </w: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 xml:space="preserve">Elektroniczne ciśnieniowe sensory pomiarowe  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Obwodowy pomiar ciśnienia dla każdego kanału pomiarowego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79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Liczba radialnych ciśnieniowych kanałów pomiarowych: 36 kanałów ciśnieniowych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Odległość między kanałami pomiarowymi: 10 mm pomiędzy kanałami ciśnieniowymi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Wysoka rozdzielczość – 432 ciśnieniowe punkty pomiarowe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Średnica cewnika – 4,2 mm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sz w:val="22"/>
                <w:szCs w:val="22"/>
              </w:rPr>
              <w:t>Pobieranie danych o ciśnieniu LES, UES i trzonu przełyku bez konieczności przemieszczania cewnika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5000" w:type="pct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164C18">
            <w:pPr>
              <w:ind w:left="360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bCs/>
                <w:sz w:val="22"/>
                <w:szCs w:val="22"/>
              </w:rPr>
              <w:t>Wyposażenie do przełykowego cewnika wysokiej rozdzielczości</w:t>
            </w:r>
          </w:p>
        </w:tc>
      </w:tr>
      <w:tr w:rsidR="00930474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93047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93D9B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Jednorazowe koszulki ochronne do przełykowego cewnika wysokiej rozdzielczości z chusteczkami dezynfekującymi, tulejką do usuwania powietrza z przestrzeni pomiędzy cewnikiem a koszulką i z systemem mocowania koszulki do cewnika – </w:t>
            </w:r>
            <w:r w:rsidRPr="00193D9B">
              <w:rPr>
                <w:rFonts w:ascii="Arial" w:hAnsi="Arial" w:cs="Arial"/>
                <w:b/>
                <w:color w:val="auto"/>
                <w:sz w:val="22"/>
                <w:szCs w:val="22"/>
              </w:rPr>
              <w:t>2 op. (1 op. – 20 szt. razem: 40 szt.); - nie lateksowe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193D9B"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0474" w:rsidRPr="00193D9B" w:rsidRDefault="00930474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5000" w:type="pct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Rejestrator do pomiaru </w:t>
            </w:r>
            <w:proofErr w:type="spellStart"/>
            <w:r w:rsidRPr="00193D9B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pH</w:t>
            </w:r>
            <w:proofErr w:type="spellEnd"/>
            <w:r w:rsidRPr="00193D9B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 i impedancji</w:t>
            </w: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Liczba rejestrowanych kanałów impedancyjnych: 6 kanałów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>Komunikacja rejestratora ze stacją roboczą za pomocą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>USB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C87AFA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C87AF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lang w:eastAsia="en-US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 xml:space="preserve">Rejestracja </w:t>
            </w:r>
            <w:proofErr w:type="spellStart"/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>refluksu</w:t>
            </w:r>
            <w:proofErr w:type="spellEnd"/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 xml:space="preserve"> kwaśnego, słabo kwaśnego i niekwaśnego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lang w:eastAsia="en-US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 xml:space="preserve">Rejestracja </w:t>
            </w:r>
            <w:proofErr w:type="spellStart"/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>refluksu</w:t>
            </w:r>
            <w:proofErr w:type="spellEnd"/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 xml:space="preserve"> płynnego, mieszanego i gazowego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lang w:eastAsia="en-US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>Częstotliwość próbkowania sygnału impedancji 64 Hz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rPr>
                <w:rFonts w:ascii="Arial" w:hAnsi="Arial" w:cs="Arial"/>
                <w:lang w:eastAsia="en-US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 xml:space="preserve">Zakres pomiaru poziomu pH:1 do 10 </w:t>
            </w:r>
            <w:proofErr w:type="spellStart"/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>pH</w:t>
            </w:r>
            <w:proofErr w:type="spellEnd"/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rPr>
                <w:rFonts w:ascii="Arial" w:hAnsi="Arial" w:cs="Arial"/>
                <w:lang w:eastAsia="en-US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>Zakres pomiaru impedancji od 100 Ohm do 10 k Ohm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lang w:eastAsia="en-US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>Płynne ustawienie czasu rejestracji w zakresie od 1 do 48 h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Kalibracja cewników bez udziału pacjenta i komputera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Przycisk do zmiany pozycji, okresu posiłkowego przy wyświetlaczu rejestratora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Podświetlane przyciski zmiany pozycji i okresu posiłkowego na klawiaturze rejestratora w okresie trwania zdarzenia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Przycisk rejestracji dolegliwości odczuwanych przez pacjenta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Rejestracja zmiany pozycji ciała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Rejestracja okresów posiłków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Możliwość wprowadzenia nr identyfikacyjnego pacjenta (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max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. 4 cyfry)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Weryfikacja poziomu impedancji i poziomu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pH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przed rozpoczęciem badania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5000" w:type="pct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 xml:space="preserve">Oprogramowanie do analizy i rejestracji </w:t>
            </w:r>
            <w:proofErr w:type="spellStart"/>
            <w:r w:rsidRPr="00193D9B">
              <w:rPr>
                <w:rFonts w:ascii="Arial" w:hAnsi="Arial" w:cs="Arial"/>
                <w:b/>
                <w:sz w:val="22"/>
                <w:szCs w:val="22"/>
              </w:rPr>
              <w:t>pH</w:t>
            </w:r>
            <w:proofErr w:type="spellEnd"/>
            <w:r w:rsidRPr="00193D9B"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proofErr w:type="spellStart"/>
            <w:r w:rsidRPr="00193D9B">
              <w:rPr>
                <w:rFonts w:ascii="Arial" w:hAnsi="Arial" w:cs="Arial"/>
                <w:b/>
                <w:sz w:val="22"/>
                <w:szCs w:val="22"/>
              </w:rPr>
              <w:t>pH</w:t>
            </w:r>
            <w:proofErr w:type="spellEnd"/>
            <w:r w:rsidRPr="00193D9B">
              <w:rPr>
                <w:rFonts w:ascii="Arial" w:hAnsi="Arial" w:cs="Arial"/>
                <w:b/>
                <w:sz w:val="22"/>
                <w:szCs w:val="22"/>
              </w:rPr>
              <w:t xml:space="preserve"> z impedancją</w:t>
            </w: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Oprogramowanie w języku polskim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Wspólne oprogramowanie do analizy badań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pH-metrycznych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i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pH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metrii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z impedancją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Wartości impedancji wyświetlane na ekranie analizy w postaci przebiegów liniowych 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Wartości impedancji wyświetlane na ekranie analizy w postaci konturów barwowych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Wprowadzanie i/lub edytowanie zdarzeń i objawów zapisanych w dzienniczku pacjenta do oprogramowania poprzez wpis i edycję tekstu lub intuicyjny graficzny interfejs oprogramowania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Automatyczne wykrywanie i zliczanie epizodów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refluksu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w rejestracji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pH</w:t>
            </w:r>
            <w:proofErr w:type="spellEnd"/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Automatyczna korelacja dolegliwości z epizodami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refluksu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kwaśnego, słabo kwaśnego i niekwaśnego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Różnicowanie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refluksów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wg typu: płynny, mieszany, gazowy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Automatyczne generowanie współczynnika dolegliwości (SI), automatyczne generowanie prawdopodobieństwa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refluks-objaw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(SAP)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Średnia nocna impedancja podstawowa (MNBI)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Możliwość generacji raportu badania w postaci dokumentu typu WORD lub PDF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Zapis wartości impedancji w postaci konturów barwowych dołączany do raportu 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Zapis wartości impedancji w postaci przebiegów liniowych dołączany do raportu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Przeglądanie przebiegu zarejestrowanego badania w postaci dynamicznego odtworzenia badania lub obrazów statycznych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Możliwość dołączania do raportu procedury badawczej, wskazań do badania oraz interpretacji i komentarzy z wykorzystaniem predefiniowanych wzorców (zapisanych w postaci rozwijanej listy)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Instrukcja obsługi oprogramowania w języku polskim wbudowana w oprogramowanie analityczne</w:t>
            </w:r>
            <w:r w:rsidRPr="00193D9B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ab/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5000" w:type="pct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Akcesoria w tym niezbędne przewody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:</w:t>
            </w: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spacing w:val="-1"/>
                <w:lang w:eastAsia="en-US"/>
              </w:rPr>
            </w:pPr>
            <w:r w:rsidRPr="00193D9B">
              <w:rPr>
                <w:rFonts w:ascii="Arial" w:hAnsi="Arial" w:cs="Arial"/>
                <w:spacing w:val="-1"/>
                <w:sz w:val="22"/>
                <w:szCs w:val="22"/>
                <w:lang w:eastAsia="en-US"/>
              </w:rPr>
              <w:t>Pakiet startowy, opakowanie cewników: Jednorazowa sonda – cewnik antymonowy</w:t>
            </w: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do pomiaru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pH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i impedancji, o konfiguracji: </w:t>
            </w: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 xml:space="preserve">wewnętrzna elektroda referencyjna, </w:t>
            </w: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złącze modularne</w:t>
            </w:r>
            <w:r w:rsidRPr="00193D9B">
              <w:rPr>
                <w:rFonts w:ascii="Arial" w:hAnsi="Arial" w:cs="Arial"/>
                <w:sz w:val="22"/>
                <w:szCs w:val="22"/>
                <w:lang w:eastAsia="en-US"/>
              </w:rPr>
              <w:t xml:space="preserve">, </w:t>
            </w: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jeden kanał do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pH-metrii</w:t>
            </w:r>
            <w:proofErr w:type="spellEnd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na poziomie 0 cm, 8 pierścieni impedancji (6 kanałów) przy -3, -1, 1, 3, 5, 9, 11 i 13 cm stosownie do oznaczeń, średnica 6 </w:t>
            </w:r>
            <w:proofErr w:type="spellStart"/>
            <w:r w:rsidRPr="00193D9B">
              <w:rPr>
                <w:rFonts w:ascii="Arial" w:hAnsi="Arial" w:cs="Arial"/>
                <w:spacing w:val="-1"/>
                <w:sz w:val="22"/>
                <w:szCs w:val="22"/>
                <w:lang w:eastAsia="en-US"/>
              </w:rPr>
              <w:t>Fr</w:t>
            </w:r>
            <w:proofErr w:type="spellEnd"/>
            <w:r w:rsidRPr="00193D9B">
              <w:rPr>
                <w:rFonts w:ascii="Arial" w:hAnsi="Arial" w:cs="Arial"/>
                <w:spacing w:val="-1"/>
                <w:sz w:val="22"/>
                <w:szCs w:val="22"/>
                <w:lang w:eastAsia="en-US"/>
              </w:rPr>
              <w:t xml:space="preserve"> 1 op.  (1op. = 10 szt.) 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Tak, wymienić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Zestaw buforów do kalibracji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4,0, </w:t>
            </w:r>
            <w:proofErr w:type="spellStart"/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 xml:space="preserve">7,0 (2 szt. – 2x po 1 szt.) 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Tak, wymienić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rPr>
          <w:cantSplit/>
          <w:trHeight w:val="357"/>
          <w:jc w:val="center"/>
        </w:trPr>
        <w:tc>
          <w:tcPr>
            <w:tcW w:w="15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5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3D9B" w:rsidRPr="00193D9B" w:rsidRDefault="00193D9B" w:rsidP="00193D9B">
            <w:pPr>
              <w:shd w:val="clear" w:color="auto" w:fill="FFFFFF"/>
              <w:rPr>
                <w:rFonts w:ascii="Arial" w:hAnsi="Arial" w:cs="Arial"/>
                <w:color w:val="000000"/>
                <w:lang w:eastAsia="en-US"/>
              </w:rPr>
            </w:pPr>
            <w:r w:rsidRPr="00193D9B">
              <w:rPr>
                <w:rFonts w:ascii="Arial" w:hAnsi="Arial" w:cs="Arial"/>
                <w:color w:val="000000"/>
                <w:spacing w:val="-1"/>
                <w:sz w:val="22"/>
                <w:szCs w:val="22"/>
                <w:lang w:eastAsia="en-US"/>
              </w:rPr>
              <w:t>Stoisko do kalibracji</w:t>
            </w:r>
          </w:p>
        </w:tc>
        <w:tc>
          <w:tcPr>
            <w:tcW w:w="63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690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92"/>
          <w:jc w:val="center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193D9B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bookmarkEnd w:id="0"/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  <w:spacing w:val="-1"/>
              </w:rPr>
            </w:pP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68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93D9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93D9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93D9B">
              <w:rPr>
                <w:rFonts w:ascii="Arial" w:hAnsi="Arial" w:cs="Arial"/>
                <w:sz w:val="22"/>
                <w:szCs w:val="22"/>
              </w:rPr>
              <w:t>a</w:t>
            </w:r>
            <w:r w:rsidRPr="00193D9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93D9B">
              <w:rPr>
                <w:rFonts w:ascii="Arial" w:hAnsi="Arial" w:cs="Arial"/>
                <w:sz w:val="22"/>
                <w:szCs w:val="22"/>
              </w:rPr>
              <w:t xml:space="preserve">y sprzęt  jest </w:t>
            </w: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93D9B">
              <w:rPr>
                <w:rFonts w:ascii="Arial" w:hAnsi="Arial" w:cs="Arial"/>
                <w:sz w:val="22"/>
                <w:szCs w:val="22"/>
              </w:rPr>
              <w:t>a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93D9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93D9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93D9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93D9B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93D9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93D9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93D9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93D9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93D9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93D9B">
              <w:rPr>
                <w:rFonts w:ascii="Arial" w:hAnsi="Arial" w:cs="Arial"/>
                <w:sz w:val="22"/>
                <w:szCs w:val="22"/>
              </w:rPr>
              <w:t>a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93D9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93D9B">
              <w:rPr>
                <w:rFonts w:ascii="Arial" w:hAnsi="Arial" w:cs="Arial"/>
                <w:sz w:val="22"/>
                <w:szCs w:val="22"/>
              </w:rPr>
              <w:t>,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93D9B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93D9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93D9B">
              <w:rPr>
                <w:rFonts w:ascii="Arial" w:hAnsi="Arial" w:cs="Arial"/>
                <w:sz w:val="22"/>
                <w:szCs w:val="22"/>
              </w:rPr>
              <w:t>s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93D9B">
              <w:rPr>
                <w:rFonts w:ascii="Arial" w:hAnsi="Arial" w:cs="Arial"/>
                <w:sz w:val="22"/>
                <w:szCs w:val="22"/>
              </w:rPr>
              <w:t>a</w:t>
            </w:r>
            <w:r w:rsidRPr="00193D9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93D9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93D9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193D9B">
              <w:rPr>
                <w:rFonts w:ascii="Arial" w:hAnsi="Arial" w:cs="Arial"/>
                <w:sz w:val="22"/>
                <w:szCs w:val="22"/>
              </w:rPr>
              <w:t xml:space="preserve">, rok produkcji 2025/2026. </w:t>
            </w:r>
            <w:r w:rsidRPr="00193D9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93D9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93D9B">
              <w:rPr>
                <w:rFonts w:ascii="Arial" w:hAnsi="Arial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68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 xml:space="preserve">Instrukcja obsługi przedmiotu oferty w języku polskim (1szt. papierowa lub w wersji elektronicznej – płyta CD lub </w:t>
            </w:r>
            <w:proofErr w:type="spellStart"/>
            <w:r w:rsidRPr="00193D9B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193D9B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93D9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68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68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snapToGrid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68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68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5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Oświadczamy ,że przedmiot oferty jest kompletny i będzie gotowy do pracy zgodnie z instrukcją obsługi bez żadnych dodatkowych zakupów</w:t>
            </w:r>
          </w:p>
        </w:tc>
        <w:tc>
          <w:tcPr>
            <w:tcW w:w="68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57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snapToGrid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Dostawca zobowiązuje się do:</w:t>
            </w:r>
          </w:p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-dokonania instalacji we wskazanym przez zamawiającego miejscu</w:t>
            </w:r>
          </w:p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-dokonania szkolenia w zakresie obsługi przedmiotu 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68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4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92"/>
          <w:jc w:val="center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  <w:b/>
              </w:rPr>
            </w:pPr>
            <w:r w:rsidRPr="00193D9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74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6D43CA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 xml:space="preserve">Długość udzielanej gwarancji – minimum </w:t>
            </w:r>
            <w:r w:rsidR="006D43CA">
              <w:rPr>
                <w:rFonts w:ascii="Arial" w:hAnsi="Arial" w:cs="Arial"/>
                <w:sz w:val="22"/>
                <w:szCs w:val="22"/>
              </w:rPr>
              <w:t>24 miesiące</w:t>
            </w:r>
            <w:r w:rsidR="001C70A1">
              <w:rPr>
                <w:rFonts w:ascii="Arial" w:hAnsi="Arial" w:cs="Arial"/>
                <w:sz w:val="22"/>
                <w:szCs w:val="22"/>
              </w:rPr>
              <w:t xml:space="preserve"> maksimum 60 miesięcy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42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Koszt pełnej obsługi serwisowej w okresie gwarancji obejmującej wszystkie czynności zapewniające 100% użytkowanie sprzętu zgodnie z wymaganiami producenta zawarty w cenie oferowanego urządzenia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56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34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55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8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2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4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544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52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885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autoSpaceDE w:val="0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  <w:tr w:rsidR="00193D9B" w:rsidRPr="00193D9B" w:rsidTr="00F229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29"/>
          <w:jc w:val="center"/>
        </w:trPr>
        <w:tc>
          <w:tcPr>
            <w:tcW w:w="1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753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6D43C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93D9B">
              <w:rPr>
                <w:rFonts w:ascii="Arial" w:hAnsi="Arial" w:cs="Arial"/>
                <w:sz w:val="22"/>
                <w:szCs w:val="22"/>
                <w:lang w:eastAsia="pl-PL"/>
              </w:rPr>
              <w:t xml:space="preserve">Dostępność części zamiennych przez okres </w:t>
            </w:r>
            <w:r w:rsidR="00863D71">
              <w:rPr>
                <w:rFonts w:ascii="Arial" w:hAnsi="Arial" w:cs="Arial"/>
                <w:sz w:val="22"/>
                <w:szCs w:val="22"/>
                <w:lang w:eastAsia="pl-PL"/>
              </w:rPr>
              <w:t xml:space="preserve">minimum </w:t>
            </w:r>
            <w:r w:rsidR="006D43CA">
              <w:rPr>
                <w:rFonts w:ascii="Arial" w:hAnsi="Arial" w:cs="Arial"/>
                <w:sz w:val="22"/>
                <w:szCs w:val="22"/>
                <w:lang w:eastAsia="pl-PL"/>
              </w:rPr>
              <w:t>5</w:t>
            </w:r>
            <w:r w:rsidRPr="00193D9B">
              <w:rPr>
                <w:rFonts w:ascii="Arial" w:hAnsi="Arial" w:cs="Arial"/>
                <w:sz w:val="22"/>
                <w:szCs w:val="22"/>
                <w:lang w:eastAsia="pl-PL"/>
              </w:rPr>
              <w:t xml:space="preserve"> lat od momentu dostarczenia</w:t>
            </w:r>
            <w:r w:rsidR="00863D71">
              <w:rPr>
                <w:rFonts w:ascii="Arial" w:hAnsi="Arial" w:cs="Arial"/>
                <w:sz w:val="22"/>
                <w:szCs w:val="22"/>
                <w:lang w:eastAsia="pl-PL"/>
              </w:rPr>
              <w:t xml:space="preserve"> oferowanego sprzętu, umożliwiająca dokonywanie napraw po zakończeniu okresu gwarancji</w:t>
            </w:r>
            <w:r w:rsidR="007B4B94">
              <w:rPr>
                <w:rFonts w:ascii="Arial" w:hAnsi="Arial" w:cs="Arial"/>
                <w:sz w:val="22"/>
                <w:szCs w:val="22"/>
                <w:lang w:eastAsia="pl-PL"/>
              </w:rPr>
              <w:t xml:space="preserve"> w okresie trwałości projektu</w:t>
            </w:r>
          </w:p>
        </w:tc>
        <w:tc>
          <w:tcPr>
            <w:tcW w:w="684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93D9B" w:rsidRPr="00193D9B" w:rsidRDefault="00193D9B" w:rsidP="00193D9B">
            <w:pPr>
              <w:jc w:val="center"/>
              <w:rPr>
                <w:rFonts w:ascii="Arial" w:hAnsi="Arial" w:cs="Arial"/>
              </w:rPr>
            </w:pPr>
            <w:r w:rsidRPr="00193D9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46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3D9B" w:rsidRPr="00193D9B" w:rsidRDefault="00193D9B" w:rsidP="00193D9B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93D9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sectPr w:rsidR="00E50CD1" w:rsidRPr="00193D9B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D9B" w:rsidRDefault="00193D9B" w:rsidP="004845EA">
      <w:r>
        <w:separator/>
      </w:r>
    </w:p>
  </w:endnote>
  <w:endnote w:type="continuationSeparator" w:id="1">
    <w:p w:rsidR="00193D9B" w:rsidRDefault="00193D9B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D9B" w:rsidRDefault="00B434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93D9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93D9B" w:rsidRDefault="00193D9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D9B" w:rsidRDefault="00B434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93D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041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93D9B" w:rsidRPr="00A208F1" w:rsidRDefault="002A678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Kwalifikowany podpis</w:t>
    </w:r>
    <w:r w:rsidR="00193D9B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D9B" w:rsidRDefault="00193D9B" w:rsidP="004845EA">
      <w:r>
        <w:separator/>
      </w:r>
    </w:p>
  </w:footnote>
  <w:footnote w:type="continuationSeparator" w:id="1">
    <w:p w:rsidR="00193D9B" w:rsidRDefault="00193D9B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D9B" w:rsidRPr="002A678A" w:rsidRDefault="002A678A" w:rsidP="002A678A">
    <w:pPr>
      <w:pStyle w:val="Nagwek"/>
    </w:pPr>
    <w:r w:rsidRPr="002A678A">
      <w:rPr>
        <w:noProof/>
        <w:lang w:eastAsia="pl-PL"/>
      </w:rPr>
      <w:drawing>
        <wp:inline distT="0" distB="0" distL="0" distR="0">
          <wp:extent cx="9777730" cy="1397000"/>
          <wp:effectExtent l="1905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F8BFBAD"/>
    <w:multiLevelType w:val="hybridMultilevel"/>
    <w:tmpl w:val="A02817F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DD6EDD3"/>
    <w:multiLevelType w:val="hybridMultilevel"/>
    <w:tmpl w:val="B8BCC65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3D76C19"/>
    <w:multiLevelType w:val="hybridMultilevel"/>
    <w:tmpl w:val="4B4AC7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5981478"/>
    <w:multiLevelType w:val="hybridMultilevel"/>
    <w:tmpl w:val="643E30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3F2C133"/>
    <w:multiLevelType w:val="hybridMultilevel"/>
    <w:tmpl w:val="A6D3ED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FC2E1FD4"/>
    <w:multiLevelType w:val="hybridMultilevel"/>
    <w:tmpl w:val="7360D6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72951AB"/>
    <w:multiLevelType w:val="multilevel"/>
    <w:tmpl w:val="B15CA23E"/>
    <w:styleLink w:val="WWNum4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1AE90BF7"/>
    <w:multiLevelType w:val="hybridMultilevel"/>
    <w:tmpl w:val="1FF2EEFC"/>
    <w:lvl w:ilvl="0" w:tplc="23A49622">
      <w:start w:val="7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911A5B"/>
    <w:multiLevelType w:val="hybridMultilevel"/>
    <w:tmpl w:val="A5155E9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24A99794"/>
    <w:multiLevelType w:val="hybridMultilevel"/>
    <w:tmpl w:val="CE80DB6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413B6D24"/>
    <w:multiLevelType w:val="hybridMultilevel"/>
    <w:tmpl w:val="87B43DE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9"/>
  </w:num>
  <w:num w:numId="4">
    <w:abstractNumId w:val="7"/>
  </w:num>
  <w:num w:numId="5">
    <w:abstractNumId w:val="8"/>
  </w:num>
  <w:num w:numId="6">
    <w:abstractNumId w:val="16"/>
  </w:num>
  <w:num w:numId="7">
    <w:abstractNumId w:val="4"/>
  </w:num>
  <w:num w:numId="8">
    <w:abstractNumId w:val="3"/>
  </w:num>
  <w:num w:numId="9">
    <w:abstractNumId w:val="1"/>
  </w:num>
  <w:num w:numId="10">
    <w:abstractNumId w:val="11"/>
  </w:num>
  <w:num w:numId="11">
    <w:abstractNumId w:val="2"/>
  </w:num>
  <w:num w:numId="12">
    <w:abstractNumId w:val="14"/>
  </w:num>
  <w:num w:numId="13">
    <w:abstractNumId w:val="0"/>
  </w:num>
  <w:num w:numId="14">
    <w:abstractNumId w:val="5"/>
  </w:num>
  <w:num w:numId="15">
    <w:abstractNumId w:val="12"/>
  </w:num>
  <w:num w:numId="16">
    <w:abstractNumId w:val="13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220B"/>
    <w:rsid w:val="000C7F7D"/>
    <w:rsid w:val="000D38F3"/>
    <w:rsid w:val="000F49D3"/>
    <w:rsid w:val="000F6112"/>
    <w:rsid w:val="00116786"/>
    <w:rsid w:val="00146552"/>
    <w:rsid w:val="00157765"/>
    <w:rsid w:val="00164C18"/>
    <w:rsid w:val="00193D9B"/>
    <w:rsid w:val="001A3016"/>
    <w:rsid w:val="001A6CCB"/>
    <w:rsid w:val="001B6A27"/>
    <w:rsid w:val="001C70A1"/>
    <w:rsid w:val="001D3DA9"/>
    <w:rsid w:val="001D5CE1"/>
    <w:rsid w:val="00222F93"/>
    <w:rsid w:val="002724C5"/>
    <w:rsid w:val="0027776B"/>
    <w:rsid w:val="0028328C"/>
    <w:rsid w:val="0029780E"/>
    <w:rsid w:val="002A678A"/>
    <w:rsid w:val="002B03E4"/>
    <w:rsid w:val="002D6B1A"/>
    <w:rsid w:val="002E59EB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17CDA"/>
    <w:rsid w:val="004369F7"/>
    <w:rsid w:val="004845EA"/>
    <w:rsid w:val="004B0CC1"/>
    <w:rsid w:val="004B4B63"/>
    <w:rsid w:val="004E6782"/>
    <w:rsid w:val="004F60B4"/>
    <w:rsid w:val="0054206C"/>
    <w:rsid w:val="00545413"/>
    <w:rsid w:val="0059632C"/>
    <w:rsid w:val="005B28BD"/>
    <w:rsid w:val="005D7755"/>
    <w:rsid w:val="006030CC"/>
    <w:rsid w:val="006848E7"/>
    <w:rsid w:val="006922CA"/>
    <w:rsid w:val="006C4085"/>
    <w:rsid w:val="006D43CA"/>
    <w:rsid w:val="006E12D2"/>
    <w:rsid w:val="007141C8"/>
    <w:rsid w:val="00736820"/>
    <w:rsid w:val="00762EAA"/>
    <w:rsid w:val="00791DD0"/>
    <w:rsid w:val="007A253C"/>
    <w:rsid w:val="007A6BB7"/>
    <w:rsid w:val="007B4B94"/>
    <w:rsid w:val="007B78B4"/>
    <w:rsid w:val="007E1FB8"/>
    <w:rsid w:val="00836C82"/>
    <w:rsid w:val="00854B8D"/>
    <w:rsid w:val="00863D71"/>
    <w:rsid w:val="008642E3"/>
    <w:rsid w:val="00876EFA"/>
    <w:rsid w:val="008845A7"/>
    <w:rsid w:val="00893E37"/>
    <w:rsid w:val="008E2A03"/>
    <w:rsid w:val="009077B6"/>
    <w:rsid w:val="00930474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AF45F0"/>
    <w:rsid w:val="00B15658"/>
    <w:rsid w:val="00B34B61"/>
    <w:rsid w:val="00B4340C"/>
    <w:rsid w:val="00B62418"/>
    <w:rsid w:val="00B8396E"/>
    <w:rsid w:val="00BC2D44"/>
    <w:rsid w:val="00C375C6"/>
    <w:rsid w:val="00C400E2"/>
    <w:rsid w:val="00C64B61"/>
    <w:rsid w:val="00C672D0"/>
    <w:rsid w:val="00C7558F"/>
    <w:rsid w:val="00C87AFA"/>
    <w:rsid w:val="00C923AC"/>
    <w:rsid w:val="00CB1025"/>
    <w:rsid w:val="00CC36AC"/>
    <w:rsid w:val="00D4776A"/>
    <w:rsid w:val="00D776FB"/>
    <w:rsid w:val="00DF2AF1"/>
    <w:rsid w:val="00DF488C"/>
    <w:rsid w:val="00DF6DBA"/>
    <w:rsid w:val="00DF71DF"/>
    <w:rsid w:val="00E05144"/>
    <w:rsid w:val="00E26840"/>
    <w:rsid w:val="00E37209"/>
    <w:rsid w:val="00E50CD1"/>
    <w:rsid w:val="00E53A8E"/>
    <w:rsid w:val="00E56F64"/>
    <w:rsid w:val="00E66915"/>
    <w:rsid w:val="00E92C2F"/>
    <w:rsid w:val="00E94A1F"/>
    <w:rsid w:val="00E96A35"/>
    <w:rsid w:val="00EC36D0"/>
    <w:rsid w:val="00F22941"/>
    <w:rsid w:val="00F2610F"/>
    <w:rsid w:val="00F31CE4"/>
    <w:rsid w:val="00F50B2F"/>
    <w:rsid w:val="00F87776"/>
    <w:rsid w:val="00F9150E"/>
    <w:rsid w:val="00FC6728"/>
    <w:rsid w:val="00FE0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paragraph" w:customStyle="1" w:styleId="Default">
    <w:name w:val="Default"/>
    <w:rsid w:val="005963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34B61"/>
    <w:rPr>
      <w:color w:val="0000FF"/>
      <w:u w:val="single"/>
    </w:rPr>
  </w:style>
  <w:style w:type="paragraph" w:customStyle="1" w:styleId="Standard">
    <w:name w:val="Standard"/>
    <w:rsid w:val="00930474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  <w:sz w:val="24"/>
      <w:szCs w:val="24"/>
      <w:lang w:eastAsia="pl-PL"/>
    </w:rPr>
  </w:style>
  <w:style w:type="numbering" w:customStyle="1" w:styleId="WWNum41">
    <w:name w:val="WWNum41"/>
    <w:basedOn w:val="Bezlisty"/>
    <w:rsid w:val="00930474"/>
    <w:pPr>
      <w:numPr>
        <w:numId w:val="1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67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78A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1536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2026-02-19T06:15:00Z</cp:lastPrinted>
  <dcterms:created xsi:type="dcterms:W3CDTF">2026-03-16T10:08:00Z</dcterms:created>
  <dcterms:modified xsi:type="dcterms:W3CDTF">2026-03-16T10:08:00Z</dcterms:modified>
</cp:coreProperties>
</file>