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95E627E" w14:textId="526C6E1B" w:rsidR="0094760F" w:rsidRPr="007353D6" w:rsidRDefault="0094760F" w:rsidP="007353D6">
      <w:pPr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7353D6">
        <w:rPr>
          <w:rFonts w:ascii="Arial" w:hAnsi="Arial" w:cs="Arial"/>
          <w:sz w:val="20"/>
          <w:szCs w:val="20"/>
        </w:rPr>
        <w:t xml:space="preserve">Przedmiot i cel zamówienia (wersja ogólna) </w:t>
      </w:r>
    </w:p>
    <w:p w14:paraId="2E16210D" w14:textId="36380561" w:rsidR="007353D6" w:rsidRDefault="0094760F" w:rsidP="007353D6">
      <w:pPr>
        <w:numPr>
          <w:ilvl w:val="1"/>
          <w:numId w:val="1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7353D6">
        <w:rPr>
          <w:rFonts w:ascii="Arial" w:hAnsi="Arial" w:cs="Arial"/>
          <w:sz w:val="20"/>
          <w:szCs w:val="20"/>
        </w:rPr>
        <w:t xml:space="preserve">Przedmiotem zamówienia jest dostawa, instalacja i uruchomienie pełnowymiarowego robota humanoidalnego do badań nad interakcją człowiek–technologia w warunkach laboratoryjnych (wewnętrznych), wraz ze </w:t>
      </w:r>
      <w:r w:rsidR="007353D6">
        <w:rPr>
          <w:rFonts w:ascii="Arial" w:hAnsi="Arial" w:cs="Arial"/>
          <w:sz w:val="20"/>
          <w:szCs w:val="20"/>
        </w:rPr>
        <w:t xml:space="preserve">instruktażem stanowiskowym </w:t>
      </w:r>
      <w:r w:rsidRPr="007353D6">
        <w:rPr>
          <w:rFonts w:ascii="Arial" w:hAnsi="Arial" w:cs="Arial"/>
          <w:sz w:val="20"/>
          <w:szCs w:val="20"/>
        </w:rPr>
        <w:t xml:space="preserve">podstawowym operatorów, testami odbiorowymi (SAT) i dokumentacją. </w:t>
      </w:r>
    </w:p>
    <w:p w14:paraId="71330D1A" w14:textId="3C65F288" w:rsidR="0094760F" w:rsidRPr="007353D6" w:rsidRDefault="0094760F" w:rsidP="007353D6">
      <w:pPr>
        <w:numPr>
          <w:ilvl w:val="1"/>
          <w:numId w:val="1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7353D6">
        <w:rPr>
          <w:rFonts w:ascii="Arial" w:hAnsi="Arial" w:cs="Arial"/>
          <w:sz w:val="20"/>
          <w:szCs w:val="20"/>
        </w:rPr>
        <w:t xml:space="preserve">Zamówienie ma charakter badawczy, z naciskiem na bezpieczeństwo użytkowników, zgodność z normami UE oraz możliwość integracji z istniejącą infrastrukturą badawczą. </w:t>
      </w:r>
    </w:p>
    <w:p w14:paraId="378A9154" w14:textId="02873376" w:rsidR="0094760F" w:rsidRPr="007353D6" w:rsidRDefault="0094760F" w:rsidP="007353D6">
      <w:pPr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7353D6">
        <w:rPr>
          <w:rFonts w:ascii="Arial" w:hAnsi="Arial" w:cs="Arial"/>
          <w:sz w:val="20"/>
          <w:szCs w:val="20"/>
        </w:rPr>
        <w:t xml:space="preserve">Zakres dostawy – wymagania minimalne (MUSI) </w:t>
      </w:r>
    </w:p>
    <w:p w14:paraId="4F6CB947" w14:textId="17CDE6F3" w:rsidR="0094760F" w:rsidRPr="007353D6" w:rsidRDefault="0094760F" w:rsidP="007353D6">
      <w:pPr>
        <w:numPr>
          <w:ilvl w:val="1"/>
          <w:numId w:val="1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7353D6">
        <w:rPr>
          <w:rFonts w:ascii="Arial" w:hAnsi="Arial" w:cs="Arial"/>
          <w:sz w:val="20"/>
          <w:szCs w:val="20"/>
        </w:rPr>
        <w:t xml:space="preserve">Kompletny robot humanoidalny gotowy do pracy laboratoryjnej (zasilanie, okablowanie, niezbędne oprogramowanie użytkowe). </w:t>
      </w:r>
    </w:p>
    <w:p w14:paraId="166D2B31" w14:textId="395054D3" w:rsidR="0094760F" w:rsidRPr="007353D6" w:rsidRDefault="0094760F" w:rsidP="007353D6">
      <w:pPr>
        <w:numPr>
          <w:ilvl w:val="1"/>
          <w:numId w:val="1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7353D6">
        <w:rPr>
          <w:rFonts w:ascii="Arial" w:hAnsi="Arial" w:cs="Arial"/>
          <w:sz w:val="20"/>
          <w:szCs w:val="20"/>
        </w:rPr>
        <w:t xml:space="preserve">SDK/API do celów badawczych (np. integracja przez Python/C++/ROS lub rozwiązania równoważne). </w:t>
      </w:r>
    </w:p>
    <w:p w14:paraId="35884B2E" w14:textId="59D2FBBE" w:rsidR="0094760F" w:rsidRPr="007353D6" w:rsidRDefault="0094760F" w:rsidP="007353D6">
      <w:pPr>
        <w:numPr>
          <w:ilvl w:val="1"/>
          <w:numId w:val="1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7353D6">
        <w:rPr>
          <w:rFonts w:ascii="Arial" w:hAnsi="Arial" w:cs="Arial"/>
          <w:sz w:val="20"/>
          <w:szCs w:val="20"/>
        </w:rPr>
        <w:t xml:space="preserve">Dostawa do Poznania, wniesienie, instalacja, kalibracja i uruchomienie na miejscu; ubezpieczenie w transporcie po stronie Wykonawcy do chwili odbioru. </w:t>
      </w:r>
    </w:p>
    <w:p w14:paraId="7AA7AA1E" w14:textId="73AFAC91" w:rsidR="0094760F" w:rsidRPr="007353D6" w:rsidRDefault="00BB721C" w:rsidP="007353D6">
      <w:pPr>
        <w:numPr>
          <w:ilvl w:val="1"/>
          <w:numId w:val="1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7353D6">
        <w:rPr>
          <w:rFonts w:ascii="Arial" w:hAnsi="Arial" w:cs="Arial"/>
          <w:sz w:val="20"/>
          <w:szCs w:val="20"/>
        </w:rPr>
        <w:t>Instruktaż stanowiskowy</w:t>
      </w:r>
      <w:r w:rsidR="0094760F" w:rsidRPr="007353D6">
        <w:rPr>
          <w:rFonts w:ascii="Arial" w:hAnsi="Arial" w:cs="Arial"/>
          <w:sz w:val="20"/>
          <w:szCs w:val="20"/>
        </w:rPr>
        <w:t xml:space="preserve"> </w:t>
      </w:r>
      <w:r w:rsidR="004A0A28" w:rsidRPr="007353D6">
        <w:rPr>
          <w:rFonts w:ascii="Arial" w:hAnsi="Arial" w:cs="Arial"/>
          <w:sz w:val="20"/>
          <w:szCs w:val="20"/>
        </w:rPr>
        <w:t xml:space="preserve">dla minimum </w:t>
      </w:r>
      <w:r w:rsidRPr="007353D6">
        <w:rPr>
          <w:rFonts w:ascii="Arial" w:hAnsi="Arial" w:cs="Arial"/>
          <w:sz w:val="20"/>
          <w:szCs w:val="20"/>
        </w:rPr>
        <w:t xml:space="preserve">2 </w:t>
      </w:r>
      <w:r w:rsidR="0094760F" w:rsidRPr="007353D6">
        <w:rPr>
          <w:rFonts w:ascii="Arial" w:hAnsi="Arial" w:cs="Arial"/>
          <w:sz w:val="20"/>
          <w:szCs w:val="20"/>
        </w:rPr>
        <w:t>operatorów</w:t>
      </w:r>
      <w:r w:rsidR="004A0A28" w:rsidRPr="007353D6">
        <w:rPr>
          <w:rFonts w:ascii="Arial" w:hAnsi="Arial" w:cs="Arial"/>
          <w:sz w:val="20"/>
          <w:szCs w:val="20"/>
        </w:rPr>
        <w:t xml:space="preserve"> </w:t>
      </w:r>
      <w:r w:rsidR="0094760F" w:rsidRPr="007353D6">
        <w:rPr>
          <w:rFonts w:ascii="Arial" w:hAnsi="Arial" w:cs="Arial"/>
          <w:sz w:val="20"/>
          <w:szCs w:val="20"/>
        </w:rPr>
        <w:t>: 8–12 godzin (on</w:t>
      </w:r>
      <w:r w:rsidR="0094760F" w:rsidRPr="007353D6">
        <w:rPr>
          <w:rFonts w:ascii="Cambria Math" w:hAnsi="Cambria Math" w:cs="Cambria Math"/>
          <w:sz w:val="20"/>
          <w:szCs w:val="20"/>
        </w:rPr>
        <w:t>‑</w:t>
      </w:r>
      <w:r w:rsidR="0094760F" w:rsidRPr="007353D6">
        <w:rPr>
          <w:rFonts w:ascii="Arial" w:hAnsi="Arial" w:cs="Arial"/>
          <w:sz w:val="20"/>
          <w:szCs w:val="20"/>
        </w:rPr>
        <w:t>site w Poznaniu lub hybrydowo z przekazaniem on</w:t>
      </w:r>
      <w:r w:rsidR="0094760F" w:rsidRPr="007353D6">
        <w:rPr>
          <w:rFonts w:ascii="Cambria Math" w:hAnsi="Cambria Math" w:cs="Cambria Math"/>
          <w:sz w:val="20"/>
          <w:szCs w:val="20"/>
        </w:rPr>
        <w:t>‑</w:t>
      </w:r>
      <w:r w:rsidR="0094760F" w:rsidRPr="007353D6">
        <w:rPr>
          <w:rFonts w:ascii="Arial" w:hAnsi="Arial" w:cs="Arial"/>
          <w:sz w:val="20"/>
          <w:szCs w:val="20"/>
        </w:rPr>
        <w:t xml:space="preserve">site w dniu SAT); materiały PL/EN. </w:t>
      </w:r>
      <w:r w:rsidR="003A15F7">
        <w:rPr>
          <w:rFonts w:ascii="Arial" w:hAnsi="Arial" w:cs="Arial"/>
          <w:sz w:val="20"/>
          <w:szCs w:val="20"/>
        </w:rPr>
        <w:t>(Instruktaż stanowiskowy stanowi jedno z kryterium oceny ofert).</w:t>
      </w:r>
    </w:p>
    <w:p w14:paraId="744CE11F" w14:textId="2A27AEE6" w:rsidR="0094760F" w:rsidRPr="007353D6" w:rsidRDefault="0094760F" w:rsidP="007353D6">
      <w:pPr>
        <w:numPr>
          <w:ilvl w:val="1"/>
          <w:numId w:val="1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7353D6">
        <w:rPr>
          <w:rFonts w:ascii="Arial" w:hAnsi="Arial" w:cs="Arial"/>
          <w:sz w:val="20"/>
          <w:szCs w:val="20"/>
        </w:rPr>
        <w:t xml:space="preserve">Przeprowadzenie testów odbiorowych (SAT) i przekazanie dokumentacji technicznej/użytkowej oraz procedur BHP. </w:t>
      </w:r>
    </w:p>
    <w:p w14:paraId="7FFDE6DE" w14:textId="4F6D7808" w:rsidR="0094760F" w:rsidRPr="007353D6" w:rsidRDefault="0094760F" w:rsidP="007353D6">
      <w:pPr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7353D6">
        <w:rPr>
          <w:rFonts w:ascii="Arial" w:hAnsi="Arial" w:cs="Arial"/>
          <w:sz w:val="20"/>
          <w:szCs w:val="20"/>
        </w:rPr>
        <w:t>Wymagania funkcjonalno</w:t>
      </w:r>
      <w:r w:rsidRPr="007353D6">
        <w:rPr>
          <w:rFonts w:ascii="Cambria Math" w:hAnsi="Cambria Math" w:cs="Cambria Math"/>
          <w:sz w:val="20"/>
          <w:szCs w:val="20"/>
        </w:rPr>
        <w:t>‑</w:t>
      </w:r>
      <w:r w:rsidRPr="007353D6">
        <w:rPr>
          <w:rFonts w:ascii="Arial" w:hAnsi="Arial" w:cs="Arial"/>
          <w:sz w:val="20"/>
          <w:szCs w:val="20"/>
        </w:rPr>
        <w:t xml:space="preserve">techniczne (MUSI – poziom ogólny) </w:t>
      </w:r>
    </w:p>
    <w:p w14:paraId="654CDABB" w14:textId="35A2B9E0" w:rsidR="0094760F" w:rsidRPr="007353D6" w:rsidRDefault="0094760F" w:rsidP="007353D6">
      <w:pPr>
        <w:numPr>
          <w:ilvl w:val="1"/>
          <w:numId w:val="1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7353D6">
        <w:rPr>
          <w:rFonts w:ascii="Arial" w:hAnsi="Arial" w:cs="Arial"/>
          <w:sz w:val="20"/>
          <w:szCs w:val="20"/>
        </w:rPr>
        <w:t xml:space="preserve">Konstrukcja humanoidalna: tułów, głowa, dwie kończyny górne i dwie dolne; wysokość w pozycji wyprostowanej ≥ 160 cm. </w:t>
      </w:r>
    </w:p>
    <w:p w14:paraId="773E40E6" w14:textId="3EC1A097" w:rsidR="0094760F" w:rsidRPr="007353D6" w:rsidRDefault="0094760F" w:rsidP="007353D6">
      <w:pPr>
        <w:numPr>
          <w:ilvl w:val="1"/>
          <w:numId w:val="1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7353D6">
        <w:rPr>
          <w:rFonts w:ascii="Arial" w:hAnsi="Arial" w:cs="Arial"/>
          <w:sz w:val="20"/>
          <w:szCs w:val="20"/>
        </w:rPr>
        <w:t xml:space="preserve">Lokomocja: autonomiczny chód dwunożny wewnątrz budynku; stabilność podczas chodu, skrętów i zatrzymań; prędkość ≥ 2 km/h (preferowane ≥ 3 km/h). </w:t>
      </w:r>
    </w:p>
    <w:p w14:paraId="5BCDC3AC" w14:textId="253A8F02" w:rsidR="0094760F" w:rsidRPr="007353D6" w:rsidRDefault="0094760F" w:rsidP="007353D6">
      <w:pPr>
        <w:numPr>
          <w:ilvl w:val="1"/>
          <w:numId w:val="1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7353D6">
        <w:rPr>
          <w:rFonts w:ascii="Arial" w:hAnsi="Arial" w:cs="Arial"/>
          <w:sz w:val="20"/>
          <w:szCs w:val="20"/>
        </w:rPr>
        <w:t xml:space="preserve">Manipulacja: dłonie/końcówki chwytne w zestawie; chwyt i manipulacja małymi obiektami; udźwig łącznie ≥ 5 kg (preferowane ≥ 8 kg). </w:t>
      </w:r>
    </w:p>
    <w:p w14:paraId="32B36B4B" w14:textId="528D0483" w:rsidR="0094760F" w:rsidRPr="007353D6" w:rsidRDefault="0094760F" w:rsidP="007353D6">
      <w:pPr>
        <w:numPr>
          <w:ilvl w:val="1"/>
          <w:numId w:val="1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7353D6">
        <w:rPr>
          <w:rFonts w:ascii="Arial" w:hAnsi="Arial" w:cs="Arial"/>
          <w:sz w:val="20"/>
          <w:szCs w:val="20"/>
        </w:rPr>
        <w:t xml:space="preserve">Kinematyka: łączna liczba stopni swobody (DoF) ≥ 30 (preferowane ≥ 50). </w:t>
      </w:r>
    </w:p>
    <w:p w14:paraId="1F3845C1" w14:textId="06F2E5B1" w:rsidR="0094760F" w:rsidRPr="007353D6" w:rsidRDefault="0094760F" w:rsidP="007353D6">
      <w:pPr>
        <w:numPr>
          <w:ilvl w:val="1"/>
          <w:numId w:val="1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7353D6">
        <w:rPr>
          <w:rFonts w:ascii="Arial" w:hAnsi="Arial" w:cs="Arial"/>
          <w:sz w:val="20"/>
          <w:szCs w:val="20"/>
        </w:rPr>
        <w:t xml:space="preserve">Percepcja: czujniki wizyjne/środowiskowe zapewniające bezpieczne poruszanie się w laboratorium (unikać kolizji). </w:t>
      </w:r>
    </w:p>
    <w:p w14:paraId="3217CA37" w14:textId="2F627172" w:rsidR="0094760F" w:rsidRPr="007353D6" w:rsidRDefault="0094760F" w:rsidP="007353D6">
      <w:pPr>
        <w:numPr>
          <w:ilvl w:val="1"/>
          <w:numId w:val="1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7353D6">
        <w:rPr>
          <w:rFonts w:ascii="Arial" w:hAnsi="Arial" w:cs="Arial"/>
          <w:sz w:val="20"/>
          <w:szCs w:val="20"/>
        </w:rPr>
        <w:t>Komunikacja w języku naturalnym: wbudowany system lub możliwość integracji z modułami ASR/TTS/LLM (edge/on</w:t>
      </w:r>
      <w:r w:rsidRPr="007353D6">
        <w:rPr>
          <w:rFonts w:ascii="Cambria Math" w:hAnsi="Cambria Math" w:cs="Cambria Math"/>
          <w:sz w:val="20"/>
          <w:szCs w:val="20"/>
        </w:rPr>
        <w:t>‑</w:t>
      </w:r>
      <w:r w:rsidRPr="007353D6">
        <w:rPr>
          <w:rFonts w:ascii="Arial" w:hAnsi="Arial" w:cs="Arial"/>
          <w:sz w:val="20"/>
          <w:szCs w:val="20"/>
        </w:rPr>
        <w:t xml:space="preserve">prem lub chmura zgodna z RODO). </w:t>
      </w:r>
    </w:p>
    <w:p w14:paraId="2CDE8CAC" w14:textId="6EA6FA74" w:rsidR="0094760F" w:rsidRPr="007353D6" w:rsidRDefault="0094760F" w:rsidP="007353D6">
      <w:pPr>
        <w:numPr>
          <w:ilvl w:val="1"/>
          <w:numId w:val="1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7353D6">
        <w:rPr>
          <w:rFonts w:ascii="Arial" w:hAnsi="Arial" w:cs="Arial"/>
          <w:sz w:val="20"/>
          <w:szCs w:val="20"/>
        </w:rPr>
        <w:t xml:space="preserve">Audio: mikrofon(y) i głośnik(i) do dialogu głosowego w czasie zbliżonym do rzeczywistego (latencja operacyjnie akceptowalna). </w:t>
      </w:r>
    </w:p>
    <w:p w14:paraId="2C617736" w14:textId="16E31E64" w:rsidR="0094760F" w:rsidRPr="007353D6" w:rsidRDefault="0094760F" w:rsidP="007353D6">
      <w:pPr>
        <w:numPr>
          <w:ilvl w:val="1"/>
          <w:numId w:val="1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7353D6">
        <w:rPr>
          <w:rFonts w:ascii="Arial" w:hAnsi="Arial" w:cs="Arial"/>
          <w:sz w:val="20"/>
          <w:szCs w:val="20"/>
        </w:rPr>
        <w:t xml:space="preserve">Sterowanie: tryb zdalny (operator) oraz autonomiczny w przestrzeni wewnętrznej; podstawowe tryby bezpieczeństwa. </w:t>
      </w:r>
    </w:p>
    <w:p w14:paraId="203E0014" w14:textId="2211ABAF" w:rsidR="0094760F" w:rsidRPr="007353D6" w:rsidRDefault="0094760F" w:rsidP="007353D6">
      <w:pPr>
        <w:numPr>
          <w:ilvl w:val="1"/>
          <w:numId w:val="1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7353D6">
        <w:rPr>
          <w:rFonts w:ascii="Arial" w:hAnsi="Arial" w:cs="Arial"/>
          <w:sz w:val="20"/>
          <w:szCs w:val="20"/>
        </w:rPr>
        <w:lastRenderedPageBreak/>
        <w:t xml:space="preserve">Interfejs badawczy: możliwość logowania zdarzeń/telemetrii i eksportu danych do analiz (formaty powszechne). </w:t>
      </w:r>
    </w:p>
    <w:p w14:paraId="5F860030" w14:textId="1AF42BBF" w:rsidR="0094760F" w:rsidRPr="007353D6" w:rsidRDefault="0094760F" w:rsidP="007353D6">
      <w:pPr>
        <w:numPr>
          <w:ilvl w:val="1"/>
          <w:numId w:val="1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7353D6">
        <w:rPr>
          <w:rFonts w:ascii="Arial" w:hAnsi="Arial" w:cs="Arial"/>
          <w:sz w:val="20"/>
          <w:szCs w:val="20"/>
        </w:rPr>
        <w:t xml:space="preserve">Scenariusz konwersacyjny: stabilna interakcja „przy blacie” (stanie przy biurku) przez min. 15 minut. </w:t>
      </w:r>
    </w:p>
    <w:p w14:paraId="5B5F5BA2" w14:textId="243F09B1" w:rsidR="0094760F" w:rsidRPr="007353D6" w:rsidRDefault="0094760F" w:rsidP="007353D6">
      <w:pPr>
        <w:numPr>
          <w:ilvl w:val="1"/>
          <w:numId w:val="1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7353D6">
        <w:rPr>
          <w:rFonts w:ascii="Arial" w:hAnsi="Arial" w:cs="Arial"/>
          <w:sz w:val="20"/>
          <w:szCs w:val="20"/>
        </w:rPr>
        <w:t xml:space="preserve">Ciągłość pracy: min. 60 minut na jednym cyklu lub równoważny mechanizm zapewnienia ciągłości sesji. </w:t>
      </w:r>
    </w:p>
    <w:p w14:paraId="058812EC" w14:textId="449E2571" w:rsidR="0094760F" w:rsidRPr="007F0541" w:rsidRDefault="0094760F" w:rsidP="007353D6">
      <w:pPr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7353D6">
        <w:rPr>
          <w:rFonts w:ascii="Arial" w:hAnsi="Arial" w:cs="Arial"/>
          <w:sz w:val="20"/>
          <w:szCs w:val="20"/>
        </w:rPr>
        <w:t xml:space="preserve">Bezpieczeństwo i zgodność (MUSI) </w:t>
      </w:r>
      <w:r w:rsidR="007F0541" w:rsidRPr="007F0541">
        <w:rPr>
          <w:rFonts w:ascii="Arial" w:hAnsi="Arial" w:cs="Arial"/>
          <w:b/>
          <w:sz w:val="20"/>
          <w:szCs w:val="20"/>
        </w:rPr>
        <w:t xml:space="preserve">(Bezpieczeństwo i zgodność stanowią jedno z kryterium oceny ofert) </w:t>
      </w:r>
    </w:p>
    <w:p w14:paraId="3601E9D9" w14:textId="77777777" w:rsidR="00E9550B" w:rsidRPr="007353D6" w:rsidRDefault="0094760F" w:rsidP="007353D6">
      <w:pPr>
        <w:numPr>
          <w:ilvl w:val="1"/>
          <w:numId w:val="1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7353D6">
        <w:rPr>
          <w:rFonts w:ascii="Arial" w:hAnsi="Arial" w:cs="Arial"/>
          <w:sz w:val="20"/>
          <w:szCs w:val="20"/>
        </w:rPr>
        <w:t>Wykonawca dostarczy oznakowanie CE, deklarację zgodności UE, instrukcję użytkowania z identyfikacją ryzyk resztkowych i raport oceny ryzyka</w:t>
      </w:r>
      <w:r w:rsidR="00AB4DC5" w:rsidRPr="007353D6">
        <w:rPr>
          <w:rFonts w:ascii="Arial" w:hAnsi="Arial" w:cs="Arial"/>
          <w:sz w:val="20"/>
          <w:szCs w:val="20"/>
        </w:rPr>
        <w:t xml:space="preserve"> w momencie dostawy</w:t>
      </w:r>
      <w:r w:rsidRPr="007353D6">
        <w:rPr>
          <w:rFonts w:ascii="Arial" w:hAnsi="Arial" w:cs="Arial"/>
          <w:sz w:val="20"/>
          <w:szCs w:val="20"/>
        </w:rPr>
        <w:t xml:space="preserve">. </w:t>
      </w:r>
    </w:p>
    <w:p w14:paraId="6ADEFB18" w14:textId="16AB577F" w:rsidR="00E9550B" w:rsidRPr="007353D6" w:rsidRDefault="0094760F" w:rsidP="007353D6">
      <w:pPr>
        <w:numPr>
          <w:ilvl w:val="1"/>
          <w:numId w:val="1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7353D6">
        <w:rPr>
          <w:rFonts w:ascii="Arial" w:hAnsi="Arial" w:cs="Arial"/>
          <w:sz w:val="20"/>
          <w:szCs w:val="20"/>
        </w:rPr>
        <w:t>Awaryjne zatrzymanie (E</w:t>
      </w:r>
      <w:r w:rsidRPr="007353D6">
        <w:rPr>
          <w:rFonts w:ascii="Cambria Math" w:hAnsi="Cambria Math" w:cs="Cambria Math"/>
          <w:sz w:val="20"/>
          <w:szCs w:val="20"/>
        </w:rPr>
        <w:t>‑</w:t>
      </w:r>
      <w:r w:rsidRPr="007353D6">
        <w:rPr>
          <w:rFonts w:ascii="Arial" w:hAnsi="Arial" w:cs="Arial"/>
          <w:sz w:val="20"/>
          <w:szCs w:val="20"/>
        </w:rPr>
        <w:t xml:space="preserve">STOP) musi być łatwo dostępne; </w:t>
      </w:r>
    </w:p>
    <w:p w14:paraId="3397B478" w14:textId="042B25A1" w:rsidR="0094760F" w:rsidRPr="007353D6" w:rsidRDefault="0094760F" w:rsidP="007353D6">
      <w:pPr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7353D6">
        <w:rPr>
          <w:rFonts w:ascii="Arial" w:hAnsi="Arial" w:cs="Arial"/>
          <w:sz w:val="20"/>
          <w:szCs w:val="20"/>
        </w:rPr>
        <w:t xml:space="preserve">Serwis, gwarancja i części (MUSI) </w:t>
      </w:r>
    </w:p>
    <w:p w14:paraId="52B6599F" w14:textId="5A8D2604" w:rsidR="0094760F" w:rsidRPr="007353D6" w:rsidRDefault="0094760F" w:rsidP="007353D6">
      <w:pPr>
        <w:numPr>
          <w:ilvl w:val="1"/>
          <w:numId w:val="1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7353D6">
        <w:rPr>
          <w:rFonts w:ascii="Arial" w:hAnsi="Arial" w:cs="Arial"/>
          <w:sz w:val="20"/>
          <w:szCs w:val="20"/>
        </w:rPr>
        <w:t xml:space="preserve">Gwarancja producenta: minimum 12 miesięcy na robota i dostarczone akcesoria; realizacja gwarancji na terenie UE. </w:t>
      </w:r>
    </w:p>
    <w:p w14:paraId="73F85332" w14:textId="397ECC78" w:rsidR="00753605" w:rsidRPr="007353D6" w:rsidRDefault="00753605" w:rsidP="007353D6">
      <w:pPr>
        <w:numPr>
          <w:ilvl w:val="1"/>
          <w:numId w:val="1"/>
        </w:numPr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7353D6">
        <w:rPr>
          <w:rFonts w:ascii="Arial" w:hAnsi="Arial" w:cs="Arial"/>
          <w:sz w:val="20"/>
          <w:szCs w:val="20"/>
        </w:rPr>
        <w:t xml:space="preserve">Czas reakcja serwisu </w:t>
      </w:r>
      <w:r w:rsidR="004B38AF" w:rsidRPr="007353D6">
        <w:rPr>
          <w:rFonts w:ascii="Arial" w:hAnsi="Arial" w:cs="Arial"/>
          <w:sz w:val="20"/>
          <w:szCs w:val="20"/>
        </w:rPr>
        <w:t>do 48</w:t>
      </w:r>
      <w:r w:rsidRPr="007353D6">
        <w:rPr>
          <w:rFonts w:ascii="Arial" w:hAnsi="Arial" w:cs="Arial"/>
          <w:sz w:val="20"/>
          <w:szCs w:val="20"/>
        </w:rPr>
        <w:t xml:space="preserve"> godzin od zgłoszenia</w:t>
      </w:r>
      <w:r w:rsidR="004B38AF" w:rsidRPr="007353D6">
        <w:rPr>
          <w:rFonts w:ascii="Arial" w:hAnsi="Arial" w:cs="Arial"/>
          <w:sz w:val="20"/>
          <w:szCs w:val="20"/>
        </w:rPr>
        <w:t xml:space="preserve"> </w:t>
      </w:r>
      <w:r w:rsidR="004B38AF" w:rsidRPr="007353D6">
        <w:rPr>
          <w:rFonts w:ascii="Arial" w:hAnsi="Arial" w:cs="Arial"/>
          <w:b/>
          <w:sz w:val="20"/>
          <w:szCs w:val="20"/>
        </w:rPr>
        <w:t>(czas reakcji serwisu stanowi jedno z kryteriów oceny ofert)</w:t>
      </w:r>
      <w:r w:rsidRPr="007353D6">
        <w:rPr>
          <w:rFonts w:ascii="Arial" w:hAnsi="Arial" w:cs="Arial"/>
          <w:b/>
          <w:sz w:val="20"/>
          <w:szCs w:val="20"/>
        </w:rPr>
        <w:t xml:space="preserve">. </w:t>
      </w:r>
    </w:p>
    <w:p w14:paraId="63334687" w14:textId="3381D721" w:rsidR="0094760F" w:rsidRPr="007353D6" w:rsidRDefault="0094760F" w:rsidP="007353D6">
      <w:pPr>
        <w:numPr>
          <w:ilvl w:val="1"/>
          <w:numId w:val="1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7353D6">
        <w:rPr>
          <w:rFonts w:ascii="Arial" w:hAnsi="Arial" w:cs="Arial"/>
          <w:sz w:val="20"/>
          <w:szCs w:val="20"/>
        </w:rPr>
        <w:t>Serwis w UE: wsparcie zdalne w cza</w:t>
      </w:r>
      <w:bookmarkStart w:id="0" w:name="_GoBack"/>
      <w:bookmarkEnd w:id="0"/>
      <w:r w:rsidRPr="007353D6">
        <w:rPr>
          <w:rFonts w:ascii="Arial" w:hAnsi="Arial" w:cs="Arial"/>
          <w:sz w:val="20"/>
          <w:szCs w:val="20"/>
        </w:rPr>
        <w:t xml:space="preserve">sie do </w:t>
      </w:r>
      <w:r w:rsidR="00AB4DC5" w:rsidRPr="007353D6">
        <w:rPr>
          <w:rFonts w:ascii="Arial" w:hAnsi="Arial" w:cs="Arial"/>
          <w:sz w:val="20"/>
          <w:szCs w:val="20"/>
        </w:rPr>
        <w:t xml:space="preserve">3 dni roboczych </w:t>
      </w:r>
      <w:r w:rsidR="00164E33" w:rsidRPr="007353D6">
        <w:rPr>
          <w:rFonts w:ascii="Arial" w:hAnsi="Arial" w:cs="Arial"/>
          <w:sz w:val="20"/>
          <w:szCs w:val="20"/>
        </w:rPr>
        <w:t xml:space="preserve">od momentu zgłoszenia </w:t>
      </w:r>
      <w:r w:rsidRPr="007353D6">
        <w:rPr>
          <w:rFonts w:ascii="Arial" w:hAnsi="Arial" w:cs="Arial"/>
          <w:sz w:val="20"/>
          <w:szCs w:val="20"/>
        </w:rPr>
        <w:t>i naprawa on</w:t>
      </w:r>
      <w:r w:rsidRPr="007353D6">
        <w:rPr>
          <w:rFonts w:ascii="Cambria Math" w:hAnsi="Cambria Math" w:cs="Cambria Math"/>
          <w:sz w:val="20"/>
          <w:szCs w:val="20"/>
        </w:rPr>
        <w:t>‑</w:t>
      </w:r>
      <w:r w:rsidRPr="007353D6">
        <w:rPr>
          <w:rFonts w:ascii="Arial" w:hAnsi="Arial" w:cs="Arial"/>
          <w:sz w:val="20"/>
          <w:szCs w:val="20"/>
        </w:rPr>
        <w:t>site w terminie do 14 dni rob</w:t>
      </w:r>
      <w:r w:rsidR="00164E33" w:rsidRPr="007353D6">
        <w:rPr>
          <w:rFonts w:ascii="Arial" w:hAnsi="Arial" w:cs="Arial"/>
          <w:sz w:val="20"/>
          <w:szCs w:val="20"/>
        </w:rPr>
        <w:t xml:space="preserve">oczych od momentu </w:t>
      </w:r>
      <w:r w:rsidR="007815C1" w:rsidRPr="007353D6">
        <w:rPr>
          <w:rFonts w:ascii="Arial" w:hAnsi="Arial" w:cs="Arial"/>
          <w:sz w:val="20"/>
          <w:szCs w:val="20"/>
        </w:rPr>
        <w:t>zgłoszenia</w:t>
      </w:r>
      <w:r w:rsidRPr="007353D6">
        <w:rPr>
          <w:rFonts w:ascii="Arial" w:hAnsi="Arial" w:cs="Arial"/>
          <w:sz w:val="20"/>
          <w:szCs w:val="20"/>
        </w:rPr>
        <w:t xml:space="preserve">. </w:t>
      </w:r>
      <w:r w:rsidR="003A15F7">
        <w:rPr>
          <w:rFonts w:ascii="Arial" w:hAnsi="Arial" w:cs="Arial"/>
          <w:sz w:val="20"/>
          <w:szCs w:val="20"/>
        </w:rPr>
        <w:t xml:space="preserve">(Serwis stanowi jedno z kryterium oceny ofert) </w:t>
      </w:r>
    </w:p>
    <w:p w14:paraId="57F55FF2" w14:textId="7FEEA208" w:rsidR="0094760F" w:rsidRPr="00151E40" w:rsidRDefault="0094760F" w:rsidP="007353D6">
      <w:pPr>
        <w:numPr>
          <w:ilvl w:val="1"/>
          <w:numId w:val="1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51E40">
        <w:rPr>
          <w:rFonts w:ascii="Arial" w:hAnsi="Arial" w:cs="Arial"/>
          <w:sz w:val="20"/>
          <w:szCs w:val="20"/>
        </w:rPr>
        <w:t xml:space="preserve">Dostępność części zamiennych w UE przez co najmniej 3 lata  </w:t>
      </w:r>
    </w:p>
    <w:p w14:paraId="3EF54E99" w14:textId="77777777" w:rsidR="007815C1" w:rsidRPr="00151E40" w:rsidRDefault="007815C1" w:rsidP="007353D6">
      <w:pPr>
        <w:numPr>
          <w:ilvl w:val="1"/>
          <w:numId w:val="1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51E40">
        <w:rPr>
          <w:rFonts w:ascii="Arial" w:hAnsi="Arial" w:cs="Arial"/>
          <w:sz w:val="20"/>
          <w:szCs w:val="20"/>
        </w:rPr>
        <w:t>Gwarancja obejmuje w szczególności koszt części i serwisu .</w:t>
      </w:r>
    </w:p>
    <w:p w14:paraId="63D518A0" w14:textId="77777777" w:rsidR="007815C1" w:rsidRPr="007353D6" w:rsidRDefault="007815C1" w:rsidP="007353D6">
      <w:pPr>
        <w:numPr>
          <w:ilvl w:val="1"/>
          <w:numId w:val="1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51E40">
        <w:rPr>
          <w:rFonts w:ascii="Arial" w:hAnsi="Arial" w:cs="Arial"/>
          <w:sz w:val="20"/>
          <w:szCs w:val="20"/>
        </w:rPr>
        <w:t xml:space="preserve">Serwis gwarancyjny w miejscu użytkowania urządzeń realizowany za pośrednictwem </w:t>
      </w:r>
      <w:r w:rsidRPr="007353D6">
        <w:rPr>
          <w:rFonts w:ascii="Arial" w:hAnsi="Arial" w:cs="Arial"/>
          <w:sz w:val="20"/>
          <w:szCs w:val="20"/>
        </w:rPr>
        <w:t>Wykonawcy. W przypadku konieczności naprawy poza siedzibą Zamawiającego koszty demontażu, ponownej instalacji i transportu urządzeń oraz ryzyko utraty lub uszkodzenia urządzeń ponosi Wykonawca.</w:t>
      </w:r>
    </w:p>
    <w:p w14:paraId="011E9230" w14:textId="77777777" w:rsidR="007815C1" w:rsidRPr="007353D6" w:rsidRDefault="007815C1" w:rsidP="007353D6">
      <w:pPr>
        <w:numPr>
          <w:ilvl w:val="1"/>
          <w:numId w:val="1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7353D6">
        <w:rPr>
          <w:rFonts w:ascii="Arial" w:hAnsi="Arial" w:cs="Arial"/>
          <w:sz w:val="20"/>
          <w:szCs w:val="20"/>
        </w:rPr>
        <w:t xml:space="preserve">Wszelkie informacje dotyczące gwarancji i zgłaszania awarii będą zawarte w karcie  gwarancyjnej dostarczonej użytkownikowi. </w:t>
      </w:r>
    </w:p>
    <w:p w14:paraId="0CDAE9AC" w14:textId="77777777" w:rsidR="007815C1" w:rsidRPr="007353D6" w:rsidRDefault="007815C1" w:rsidP="007353D6">
      <w:pPr>
        <w:numPr>
          <w:ilvl w:val="1"/>
          <w:numId w:val="1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7353D6">
        <w:rPr>
          <w:rFonts w:ascii="Arial" w:hAnsi="Arial" w:cs="Arial"/>
          <w:sz w:val="20"/>
          <w:szCs w:val="20"/>
        </w:rPr>
        <w:t>Postanowienia zawarte w karcie gwarancyjnej niezgodne z niniejszą umową lub ograniczające uprawnienia Zamawiającego wynikające z przepisów Kodeksu cywilnego o gwarancji przy sprzedaży są nieważne. W tym przypadku obowiązują odpowiednie zapisy umowy lub Kodeksu cywilnego.</w:t>
      </w:r>
    </w:p>
    <w:p w14:paraId="33B8ABCE" w14:textId="46FBD782" w:rsidR="007815C1" w:rsidRPr="00E41B67" w:rsidRDefault="007815C1" w:rsidP="00E41B67">
      <w:pPr>
        <w:numPr>
          <w:ilvl w:val="1"/>
          <w:numId w:val="1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7353D6">
        <w:rPr>
          <w:rFonts w:ascii="Arial" w:hAnsi="Arial" w:cs="Arial"/>
          <w:sz w:val="20"/>
          <w:szCs w:val="20"/>
        </w:rPr>
        <w:t>Zamawiający może wykonywać uprawnienia z tytułu gwarancji niezależnie od uprawnień przysługujących z tytułu rękojmi.</w:t>
      </w:r>
    </w:p>
    <w:p w14:paraId="5D17296C" w14:textId="0213E7F3" w:rsidR="0094760F" w:rsidRPr="007353D6" w:rsidRDefault="0094760F" w:rsidP="007353D6">
      <w:pPr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7353D6">
        <w:rPr>
          <w:rFonts w:ascii="Arial" w:hAnsi="Arial" w:cs="Arial"/>
          <w:sz w:val="20"/>
          <w:szCs w:val="20"/>
        </w:rPr>
        <w:t xml:space="preserve">Ochrona danych i prywatność (MUSI) </w:t>
      </w:r>
    </w:p>
    <w:p w14:paraId="629250EF" w14:textId="77777777" w:rsidR="0094760F" w:rsidRPr="007353D6" w:rsidRDefault="0094760F" w:rsidP="007353D6">
      <w:pPr>
        <w:numPr>
          <w:ilvl w:val="1"/>
          <w:numId w:val="1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7353D6">
        <w:rPr>
          <w:rFonts w:ascii="Arial" w:hAnsi="Arial" w:cs="Arial"/>
          <w:sz w:val="20"/>
          <w:szCs w:val="20"/>
        </w:rPr>
        <w:lastRenderedPageBreak/>
        <w:t xml:space="preserve">Możliwość pracy lokalnej (edge/offline) dla audio/wideo/telemetrii lub przetwarzanie w UE na podstawie umowy powierzenia (DPA). </w:t>
      </w:r>
    </w:p>
    <w:p w14:paraId="0F2BF520" w14:textId="31CB6299" w:rsidR="0094760F" w:rsidRPr="007353D6" w:rsidRDefault="0094760F" w:rsidP="007353D6">
      <w:pPr>
        <w:numPr>
          <w:ilvl w:val="1"/>
          <w:numId w:val="1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7353D6">
        <w:rPr>
          <w:rFonts w:ascii="Arial" w:hAnsi="Arial" w:cs="Arial"/>
          <w:sz w:val="20"/>
          <w:szCs w:val="20"/>
        </w:rPr>
        <w:t xml:space="preserve">Polityka logów: zakres, miejsce i czas retencji, mechanizmy anonimizacji/pseudonimizacji – do uzgodnienia z Zamawiającym. </w:t>
      </w:r>
    </w:p>
    <w:p w14:paraId="310EFE1A" w14:textId="2594961A" w:rsidR="0094760F" w:rsidRPr="007353D6" w:rsidRDefault="0094760F" w:rsidP="007353D6">
      <w:pPr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7353D6">
        <w:rPr>
          <w:rFonts w:ascii="Arial" w:hAnsi="Arial" w:cs="Arial"/>
          <w:sz w:val="20"/>
          <w:szCs w:val="20"/>
        </w:rPr>
        <w:t xml:space="preserve">Termin dostawy i odbioru (MUSI) </w:t>
      </w:r>
    </w:p>
    <w:p w14:paraId="1B945D82" w14:textId="28C23861" w:rsidR="00C1080F" w:rsidRPr="007353D6" w:rsidRDefault="00C1080F" w:rsidP="007353D6">
      <w:pPr>
        <w:numPr>
          <w:ilvl w:val="1"/>
          <w:numId w:val="1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7353D6">
        <w:rPr>
          <w:rFonts w:ascii="Arial" w:hAnsi="Arial" w:cs="Arial"/>
          <w:sz w:val="20"/>
          <w:szCs w:val="20"/>
        </w:rPr>
        <w:t xml:space="preserve">Przedmiot umowy będzie dostarczony w stanie fabrycznie nowym w terminie nie dłuższym niż </w:t>
      </w:r>
      <w:r w:rsidR="00BB721C" w:rsidRPr="007353D6">
        <w:rPr>
          <w:rFonts w:ascii="Arial" w:hAnsi="Arial" w:cs="Arial"/>
          <w:sz w:val="20"/>
          <w:szCs w:val="20"/>
        </w:rPr>
        <w:t xml:space="preserve">30 </w:t>
      </w:r>
      <w:r w:rsidRPr="007353D6">
        <w:rPr>
          <w:rFonts w:ascii="Arial" w:hAnsi="Arial" w:cs="Arial"/>
          <w:sz w:val="20"/>
          <w:szCs w:val="20"/>
        </w:rPr>
        <w:t xml:space="preserve">tygodni od daty zawarcia umowy </w:t>
      </w:r>
      <w:r w:rsidR="00E41B67" w:rsidRPr="00E41B67">
        <w:rPr>
          <w:rFonts w:ascii="Arial" w:hAnsi="Arial" w:cs="Arial"/>
          <w:b/>
          <w:sz w:val="20"/>
          <w:szCs w:val="20"/>
        </w:rPr>
        <w:t>(termin realizacji zamówienia stanowi jedno z kryterium oceny ofert)</w:t>
      </w:r>
      <w:r w:rsidR="00E41B67">
        <w:rPr>
          <w:rFonts w:ascii="Arial" w:hAnsi="Arial" w:cs="Arial"/>
          <w:sz w:val="20"/>
          <w:szCs w:val="20"/>
        </w:rPr>
        <w:t xml:space="preserve"> </w:t>
      </w:r>
    </w:p>
    <w:p w14:paraId="039C212A" w14:textId="65EC2799" w:rsidR="0094760F" w:rsidRPr="007353D6" w:rsidRDefault="0094760F" w:rsidP="007353D6">
      <w:pPr>
        <w:numPr>
          <w:ilvl w:val="1"/>
          <w:numId w:val="1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7353D6">
        <w:rPr>
          <w:rFonts w:ascii="Arial" w:hAnsi="Arial" w:cs="Arial"/>
          <w:sz w:val="20"/>
          <w:szCs w:val="20"/>
        </w:rPr>
        <w:t xml:space="preserve">Wykonawca </w:t>
      </w:r>
      <w:r w:rsidR="00DA69D6" w:rsidRPr="007353D6">
        <w:rPr>
          <w:rFonts w:ascii="Arial" w:hAnsi="Arial" w:cs="Arial"/>
          <w:sz w:val="20"/>
          <w:szCs w:val="20"/>
        </w:rPr>
        <w:t xml:space="preserve"> po podpisaniu umowy w terminie 7 dni przedstawi Zamawiającemu szczegółowy harmonogram </w:t>
      </w:r>
      <w:r w:rsidRPr="007353D6">
        <w:rPr>
          <w:rFonts w:ascii="Arial" w:hAnsi="Arial" w:cs="Arial"/>
          <w:sz w:val="20"/>
          <w:szCs w:val="20"/>
        </w:rPr>
        <w:t>dostawy</w:t>
      </w:r>
      <w:r w:rsidR="00DA69D6" w:rsidRPr="007353D6">
        <w:rPr>
          <w:rFonts w:ascii="Arial" w:hAnsi="Arial" w:cs="Arial"/>
          <w:sz w:val="20"/>
          <w:szCs w:val="20"/>
        </w:rPr>
        <w:t>,</w:t>
      </w:r>
      <w:r w:rsidRPr="007353D6">
        <w:rPr>
          <w:rFonts w:ascii="Arial" w:hAnsi="Arial" w:cs="Arial"/>
          <w:sz w:val="20"/>
          <w:szCs w:val="20"/>
        </w:rPr>
        <w:t xml:space="preserve"> uruchomienia</w:t>
      </w:r>
      <w:r w:rsidR="00DA69D6" w:rsidRPr="007353D6">
        <w:rPr>
          <w:rFonts w:ascii="Arial" w:hAnsi="Arial" w:cs="Arial"/>
          <w:sz w:val="20"/>
          <w:szCs w:val="20"/>
        </w:rPr>
        <w:t xml:space="preserve"> i</w:t>
      </w:r>
      <w:r w:rsidRPr="007353D6">
        <w:rPr>
          <w:rFonts w:ascii="Arial" w:hAnsi="Arial" w:cs="Arial"/>
          <w:sz w:val="20"/>
          <w:szCs w:val="20"/>
        </w:rPr>
        <w:t xml:space="preserve"> test</w:t>
      </w:r>
      <w:r w:rsidR="00DA69D6" w:rsidRPr="007353D6">
        <w:rPr>
          <w:rFonts w:ascii="Arial" w:hAnsi="Arial" w:cs="Arial"/>
          <w:sz w:val="20"/>
          <w:szCs w:val="20"/>
        </w:rPr>
        <w:t>ów</w:t>
      </w:r>
      <w:r w:rsidRPr="007353D6">
        <w:rPr>
          <w:rFonts w:ascii="Arial" w:hAnsi="Arial" w:cs="Arial"/>
          <w:sz w:val="20"/>
          <w:szCs w:val="20"/>
        </w:rPr>
        <w:t xml:space="preserve"> odbiorow</w:t>
      </w:r>
      <w:r w:rsidR="00DA69D6" w:rsidRPr="007353D6">
        <w:rPr>
          <w:rFonts w:ascii="Arial" w:hAnsi="Arial" w:cs="Arial"/>
          <w:sz w:val="20"/>
          <w:szCs w:val="20"/>
        </w:rPr>
        <w:t>ych</w:t>
      </w:r>
      <w:r w:rsidRPr="007353D6">
        <w:rPr>
          <w:rFonts w:ascii="Arial" w:hAnsi="Arial" w:cs="Arial"/>
          <w:sz w:val="20"/>
          <w:szCs w:val="20"/>
        </w:rPr>
        <w:t xml:space="preserve"> (SAT)</w:t>
      </w:r>
      <w:r w:rsidR="00DA69D6" w:rsidRPr="007353D6">
        <w:rPr>
          <w:rFonts w:ascii="Arial" w:hAnsi="Arial" w:cs="Arial"/>
          <w:sz w:val="20"/>
          <w:szCs w:val="20"/>
        </w:rPr>
        <w:t>.</w:t>
      </w:r>
      <w:r w:rsidRPr="007353D6">
        <w:rPr>
          <w:rFonts w:ascii="Arial" w:hAnsi="Arial" w:cs="Arial"/>
          <w:sz w:val="20"/>
          <w:szCs w:val="20"/>
        </w:rPr>
        <w:t xml:space="preserve"> </w:t>
      </w:r>
    </w:p>
    <w:p w14:paraId="28A73BC5" w14:textId="1ABD63AC" w:rsidR="0094760F" w:rsidRPr="007353D6" w:rsidRDefault="0094760F" w:rsidP="007353D6">
      <w:pPr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7353D6">
        <w:rPr>
          <w:rFonts w:ascii="Arial" w:hAnsi="Arial" w:cs="Arial"/>
          <w:sz w:val="20"/>
          <w:szCs w:val="20"/>
        </w:rPr>
        <w:t>Parametry preferowane (</w:t>
      </w:r>
      <w:r w:rsidR="007F0541">
        <w:rPr>
          <w:rFonts w:ascii="Arial" w:hAnsi="Arial" w:cs="Arial"/>
          <w:b/>
          <w:sz w:val="20"/>
          <w:szCs w:val="20"/>
        </w:rPr>
        <w:t xml:space="preserve">poniższe parametry </w:t>
      </w:r>
      <w:r w:rsidR="00E41B67" w:rsidRPr="00E41B67">
        <w:rPr>
          <w:rFonts w:ascii="Arial" w:hAnsi="Arial" w:cs="Arial"/>
          <w:b/>
          <w:sz w:val="20"/>
          <w:szCs w:val="20"/>
        </w:rPr>
        <w:t xml:space="preserve">stanowią </w:t>
      </w:r>
      <w:r w:rsidR="007F0541">
        <w:rPr>
          <w:rFonts w:ascii="Arial" w:hAnsi="Arial" w:cs="Arial"/>
          <w:b/>
          <w:sz w:val="20"/>
          <w:szCs w:val="20"/>
        </w:rPr>
        <w:t>jedne</w:t>
      </w:r>
      <w:r w:rsidR="00E41B67" w:rsidRPr="00E41B67">
        <w:rPr>
          <w:rFonts w:ascii="Arial" w:hAnsi="Arial" w:cs="Arial"/>
          <w:b/>
          <w:sz w:val="20"/>
          <w:szCs w:val="20"/>
        </w:rPr>
        <w:t xml:space="preserve"> z kryteriów oceny ofert</w:t>
      </w:r>
      <w:r w:rsidRPr="007353D6">
        <w:rPr>
          <w:rFonts w:ascii="Arial" w:hAnsi="Arial" w:cs="Arial"/>
          <w:sz w:val="20"/>
          <w:szCs w:val="20"/>
        </w:rPr>
        <w:t xml:space="preserve">). </w:t>
      </w:r>
    </w:p>
    <w:p w14:paraId="253E9997" w14:textId="50B60515" w:rsidR="0094760F" w:rsidRPr="007353D6" w:rsidRDefault="0094760F" w:rsidP="007353D6">
      <w:pPr>
        <w:numPr>
          <w:ilvl w:val="1"/>
          <w:numId w:val="1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7353D6">
        <w:rPr>
          <w:rFonts w:ascii="Arial" w:hAnsi="Arial" w:cs="Arial"/>
          <w:sz w:val="20"/>
          <w:szCs w:val="20"/>
        </w:rPr>
        <w:t>Percepcja 360° (minimalizacja martwych stref) i/lub skóra dotykowa (touch</w:t>
      </w:r>
      <w:r w:rsidRPr="007353D6">
        <w:rPr>
          <w:rFonts w:ascii="Cambria Math" w:hAnsi="Cambria Math" w:cs="Cambria Math"/>
          <w:sz w:val="20"/>
          <w:szCs w:val="20"/>
        </w:rPr>
        <w:t>‑</w:t>
      </w:r>
      <w:r w:rsidRPr="007353D6">
        <w:rPr>
          <w:rFonts w:ascii="Arial" w:hAnsi="Arial" w:cs="Arial"/>
          <w:sz w:val="20"/>
          <w:szCs w:val="20"/>
        </w:rPr>
        <w:t xml:space="preserve">skin) z dostępem do zdarzeń dotyku w SDK. </w:t>
      </w:r>
    </w:p>
    <w:p w14:paraId="56E8D558" w14:textId="71EDCC1F" w:rsidR="0094760F" w:rsidRPr="007353D6" w:rsidRDefault="0094760F" w:rsidP="007353D6">
      <w:pPr>
        <w:numPr>
          <w:ilvl w:val="1"/>
          <w:numId w:val="1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7353D6">
        <w:rPr>
          <w:rFonts w:ascii="Arial" w:hAnsi="Arial" w:cs="Arial"/>
          <w:sz w:val="20"/>
          <w:szCs w:val="20"/>
        </w:rPr>
        <w:t xml:space="preserve">Niska latencja dialogu głosowego oraz możliwość pracy mowy w trybie offline (ASR+TTS lokalnie) dla sesji wrażliwych na prywatność. </w:t>
      </w:r>
    </w:p>
    <w:p w14:paraId="5FDEC3A9" w14:textId="355221B8" w:rsidR="0094760F" w:rsidRPr="007353D6" w:rsidRDefault="0094760F" w:rsidP="007353D6">
      <w:pPr>
        <w:numPr>
          <w:ilvl w:val="1"/>
          <w:numId w:val="1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7353D6">
        <w:rPr>
          <w:rFonts w:ascii="Arial" w:hAnsi="Arial" w:cs="Arial"/>
          <w:sz w:val="20"/>
          <w:szCs w:val="20"/>
        </w:rPr>
        <w:t xml:space="preserve">Rozszerzona kinematyka ≥ </w:t>
      </w:r>
      <w:r w:rsidR="007F0541">
        <w:rPr>
          <w:rFonts w:ascii="Arial" w:hAnsi="Arial" w:cs="Arial"/>
          <w:sz w:val="20"/>
          <w:szCs w:val="20"/>
        </w:rPr>
        <w:t>15</w:t>
      </w:r>
      <w:r w:rsidRPr="007353D6">
        <w:rPr>
          <w:rFonts w:ascii="Arial" w:hAnsi="Arial" w:cs="Arial"/>
          <w:sz w:val="20"/>
          <w:szCs w:val="20"/>
        </w:rPr>
        <w:t xml:space="preserve"> DoF) oraz biblioteka gestów społecznych (skinienie głową, gest zachęty dłonią) wywoływana z API. </w:t>
      </w:r>
    </w:p>
    <w:p w14:paraId="5DA26AE5" w14:textId="65975104" w:rsidR="0094760F" w:rsidRPr="007353D6" w:rsidRDefault="0094760F" w:rsidP="007353D6">
      <w:pPr>
        <w:numPr>
          <w:ilvl w:val="1"/>
          <w:numId w:val="1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7353D6">
        <w:rPr>
          <w:rFonts w:ascii="Arial" w:hAnsi="Arial" w:cs="Arial"/>
          <w:sz w:val="20"/>
          <w:szCs w:val="20"/>
        </w:rPr>
        <w:t>Dłuższa ciągłość pracy</w:t>
      </w:r>
      <w:r w:rsidR="007F0541">
        <w:rPr>
          <w:rFonts w:ascii="Arial" w:hAnsi="Arial" w:cs="Arial"/>
          <w:sz w:val="20"/>
          <w:szCs w:val="20"/>
        </w:rPr>
        <w:t xml:space="preserve"> </w:t>
      </w:r>
      <w:r w:rsidRPr="007353D6">
        <w:rPr>
          <w:rFonts w:ascii="Arial" w:hAnsi="Arial" w:cs="Arial"/>
          <w:sz w:val="20"/>
          <w:szCs w:val="20"/>
        </w:rPr>
        <w:t xml:space="preserve"> ≥ </w:t>
      </w:r>
      <w:r w:rsidR="006168B3">
        <w:rPr>
          <w:rFonts w:ascii="Arial" w:hAnsi="Arial" w:cs="Arial"/>
          <w:sz w:val="20"/>
          <w:szCs w:val="20"/>
        </w:rPr>
        <w:t>120</w:t>
      </w:r>
      <w:r w:rsidR="007F0541">
        <w:rPr>
          <w:rFonts w:ascii="Arial" w:hAnsi="Arial" w:cs="Arial"/>
          <w:sz w:val="20"/>
          <w:szCs w:val="20"/>
        </w:rPr>
        <w:t xml:space="preserve"> min</w:t>
      </w:r>
      <w:r w:rsidRPr="007353D6">
        <w:rPr>
          <w:rFonts w:ascii="Arial" w:hAnsi="Arial" w:cs="Arial"/>
          <w:sz w:val="20"/>
          <w:szCs w:val="20"/>
        </w:rPr>
        <w:t xml:space="preserve"> lub hot</w:t>
      </w:r>
      <w:r w:rsidRPr="007353D6">
        <w:rPr>
          <w:rFonts w:ascii="Cambria Math" w:hAnsi="Cambria Math" w:cs="Cambria Math"/>
          <w:sz w:val="20"/>
          <w:szCs w:val="20"/>
        </w:rPr>
        <w:t>‑</w:t>
      </w:r>
      <w:r w:rsidRPr="007353D6">
        <w:rPr>
          <w:rFonts w:ascii="Arial" w:hAnsi="Arial" w:cs="Arial"/>
          <w:sz w:val="20"/>
          <w:szCs w:val="20"/>
        </w:rPr>
        <w:t xml:space="preserve">swap/stacja dokująca utrzymująca sesję bez restartu. </w:t>
      </w:r>
    </w:p>
    <w:p w14:paraId="01ACC52A" w14:textId="4CC1BE7D" w:rsidR="0094760F" w:rsidRPr="007353D6" w:rsidRDefault="0094760F" w:rsidP="007353D6">
      <w:pPr>
        <w:numPr>
          <w:ilvl w:val="1"/>
          <w:numId w:val="1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7353D6">
        <w:rPr>
          <w:rFonts w:ascii="Arial" w:hAnsi="Arial" w:cs="Arial"/>
          <w:sz w:val="20"/>
          <w:szCs w:val="20"/>
        </w:rPr>
        <w:t xml:space="preserve">Integracja z systemami motion capture lub funkcja naśladowania ruchu; sterowanie proksemiką i kierunkiem spojrzenia (gaze) z API. </w:t>
      </w:r>
    </w:p>
    <w:p w14:paraId="1AAD1E8E" w14:textId="7572A476" w:rsidR="0094760F" w:rsidRPr="007353D6" w:rsidRDefault="0094760F" w:rsidP="007353D6">
      <w:pPr>
        <w:numPr>
          <w:ilvl w:val="1"/>
          <w:numId w:val="1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7353D6">
        <w:rPr>
          <w:rFonts w:ascii="Arial" w:hAnsi="Arial" w:cs="Arial"/>
          <w:sz w:val="20"/>
          <w:szCs w:val="20"/>
        </w:rPr>
        <w:t xml:space="preserve">Niski poziom hałasu robota w trybach interakcji konwersacyjnej. </w:t>
      </w:r>
    </w:p>
    <w:p w14:paraId="4A1C385B" w14:textId="27CB9697" w:rsidR="00980C34" w:rsidRPr="007353D6" w:rsidRDefault="00980C34" w:rsidP="007353D6">
      <w:pPr>
        <w:tabs>
          <w:tab w:val="left" w:pos="426"/>
        </w:tabs>
        <w:spacing w:after="0" w:line="360" w:lineRule="auto"/>
        <w:ind w:left="709" w:hanging="425"/>
        <w:jc w:val="both"/>
        <w:rPr>
          <w:rFonts w:ascii="Arial" w:hAnsi="Arial" w:cs="Arial"/>
          <w:sz w:val="20"/>
          <w:szCs w:val="20"/>
        </w:rPr>
      </w:pPr>
      <w:r w:rsidRPr="007353D6">
        <w:rPr>
          <w:rFonts w:ascii="Arial" w:hAnsi="Arial" w:cs="Arial"/>
          <w:sz w:val="20"/>
          <w:szCs w:val="20"/>
        </w:rPr>
        <w:t xml:space="preserve">9. </w:t>
      </w:r>
      <w:r w:rsidRPr="007353D6">
        <w:rPr>
          <w:rFonts w:ascii="Arial" w:hAnsi="Arial" w:cs="Arial"/>
          <w:sz w:val="20"/>
          <w:szCs w:val="20"/>
        </w:rPr>
        <w:tab/>
      </w:r>
      <w:r w:rsidRPr="00E41B67">
        <w:rPr>
          <w:rFonts w:ascii="Arial" w:hAnsi="Arial" w:cs="Arial"/>
          <w:b/>
          <w:sz w:val="20"/>
          <w:szCs w:val="20"/>
        </w:rPr>
        <w:t>Prawo opcji:</w:t>
      </w:r>
      <w:r w:rsidRPr="007353D6">
        <w:rPr>
          <w:rFonts w:ascii="Arial" w:hAnsi="Arial" w:cs="Arial"/>
          <w:sz w:val="20"/>
          <w:szCs w:val="20"/>
        </w:rPr>
        <w:t xml:space="preserve"> Zamawiający wskazuje, iż odnośnie realizacji przedmiotu zamówienia objętego niniejszym postępowaniem, przewiduje prawo opcji, o którym mowa w art. 31 ust. 2 oraz 441 ustawy PZP.  Zamawiający wskazuje, że w ramach prawa opcji jest uprawniony do zakupu od  Wykonawcy przedmiotu zamówienia tzw. zamówienie opcjonalne tj.:</w:t>
      </w:r>
    </w:p>
    <w:p w14:paraId="49C7EB96" w14:textId="3E498F23" w:rsidR="0094760F" w:rsidRDefault="0094760F" w:rsidP="003A15F7">
      <w:pPr>
        <w:pStyle w:val="Akapitzlist"/>
        <w:numPr>
          <w:ilvl w:val="3"/>
          <w:numId w:val="1"/>
        </w:numPr>
        <w:spacing w:after="0" w:line="360" w:lineRule="auto"/>
        <w:ind w:left="1134" w:hanging="425"/>
        <w:jc w:val="both"/>
        <w:rPr>
          <w:rFonts w:ascii="Arial" w:hAnsi="Arial" w:cs="Arial"/>
          <w:sz w:val="20"/>
          <w:szCs w:val="20"/>
        </w:rPr>
      </w:pPr>
      <w:r w:rsidRPr="003A15F7">
        <w:rPr>
          <w:rFonts w:ascii="Arial" w:hAnsi="Arial" w:cs="Arial"/>
          <w:sz w:val="20"/>
          <w:szCs w:val="20"/>
        </w:rPr>
        <w:t>Skrzynia transportowa (flight</w:t>
      </w:r>
      <w:r w:rsidRPr="003A15F7">
        <w:rPr>
          <w:rFonts w:ascii="Cambria Math" w:hAnsi="Cambria Math" w:cs="Cambria Math"/>
          <w:sz w:val="20"/>
          <w:szCs w:val="20"/>
        </w:rPr>
        <w:t>‑</w:t>
      </w:r>
      <w:r w:rsidRPr="003A15F7">
        <w:rPr>
          <w:rFonts w:ascii="Arial" w:hAnsi="Arial" w:cs="Arial"/>
          <w:sz w:val="20"/>
          <w:szCs w:val="20"/>
        </w:rPr>
        <w:t>case) dopasowana do modelu robota</w:t>
      </w:r>
      <w:r w:rsidR="00F04A8D">
        <w:rPr>
          <w:rFonts w:ascii="Arial" w:hAnsi="Arial" w:cs="Arial"/>
          <w:sz w:val="20"/>
          <w:szCs w:val="20"/>
        </w:rPr>
        <w:t xml:space="preserve">, </w:t>
      </w:r>
      <w:r w:rsidR="00F04A8D" w:rsidRPr="00F04A8D">
        <w:rPr>
          <w:rFonts w:ascii="Arial" w:hAnsi="Arial" w:cs="Arial"/>
          <w:sz w:val="20"/>
          <w:szCs w:val="20"/>
        </w:rPr>
        <w:t>wykonana ze sklejki laminowanej (min. 6–9 mm) z aluminiowymi profilami i wzmocnionymi narożnikami stalowymi, wyposażona w uchwyty, zamki motylkowe oraz kółka transportowe</w:t>
      </w:r>
      <w:r w:rsidRPr="003A15F7">
        <w:rPr>
          <w:rFonts w:ascii="Arial" w:hAnsi="Arial" w:cs="Arial"/>
          <w:sz w:val="20"/>
          <w:szCs w:val="20"/>
        </w:rPr>
        <w:t>.</w:t>
      </w:r>
      <w:r w:rsidR="00F04A8D">
        <w:rPr>
          <w:rFonts w:ascii="Arial" w:hAnsi="Arial" w:cs="Arial"/>
          <w:sz w:val="20"/>
          <w:szCs w:val="20"/>
        </w:rPr>
        <w:t xml:space="preserve"> </w:t>
      </w:r>
      <w:r w:rsidR="00F04A8D" w:rsidRPr="00F04A8D">
        <w:rPr>
          <w:rFonts w:ascii="Arial" w:hAnsi="Arial" w:cs="Arial"/>
          <w:sz w:val="20"/>
          <w:szCs w:val="20"/>
        </w:rPr>
        <w:t>Wnętrze dopasowane do modelu robota humanoidalnego, wyłożone pianką techniczną amortyzującą (np. PE/PUR), zapewniającą stabilne i bezpieczne unieruchomienie podczas transportu</w:t>
      </w:r>
      <w:r w:rsidR="00F04A8D">
        <w:rPr>
          <w:rFonts w:ascii="Arial" w:hAnsi="Arial" w:cs="Arial"/>
          <w:sz w:val="20"/>
          <w:szCs w:val="20"/>
        </w:rPr>
        <w:t>.</w:t>
      </w:r>
      <w:r w:rsidRPr="003A15F7">
        <w:rPr>
          <w:rFonts w:ascii="Arial" w:hAnsi="Arial" w:cs="Arial"/>
          <w:sz w:val="20"/>
          <w:szCs w:val="20"/>
        </w:rPr>
        <w:t xml:space="preserve"> </w:t>
      </w:r>
    </w:p>
    <w:p w14:paraId="0F062AC3" w14:textId="510496D0" w:rsidR="0094760F" w:rsidRDefault="0094760F" w:rsidP="003A15F7">
      <w:pPr>
        <w:pStyle w:val="Akapitzlist"/>
        <w:numPr>
          <w:ilvl w:val="3"/>
          <w:numId w:val="1"/>
        </w:numPr>
        <w:spacing w:after="0" w:line="360" w:lineRule="auto"/>
        <w:ind w:left="1134" w:hanging="425"/>
        <w:jc w:val="both"/>
        <w:rPr>
          <w:rFonts w:ascii="Arial" w:hAnsi="Arial" w:cs="Arial"/>
          <w:sz w:val="20"/>
          <w:szCs w:val="20"/>
        </w:rPr>
      </w:pPr>
      <w:r w:rsidRPr="003A15F7">
        <w:rPr>
          <w:rFonts w:ascii="Arial" w:hAnsi="Arial" w:cs="Arial"/>
          <w:sz w:val="20"/>
          <w:szCs w:val="20"/>
        </w:rPr>
        <w:t xml:space="preserve">Stojak/perch/dok postojowy zapewniający bezpieczne odstawienie robota w laboratorium. </w:t>
      </w:r>
    </w:p>
    <w:p w14:paraId="64AFC301" w14:textId="4C6C31F4" w:rsidR="0094760F" w:rsidRPr="003A15F7" w:rsidRDefault="0094760F" w:rsidP="003A15F7">
      <w:pPr>
        <w:pStyle w:val="Akapitzlist"/>
        <w:numPr>
          <w:ilvl w:val="3"/>
          <w:numId w:val="1"/>
        </w:numPr>
        <w:spacing w:after="0" w:line="360" w:lineRule="auto"/>
        <w:ind w:left="1134" w:hanging="425"/>
        <w:jc w:val="both"/>
        <w:rPr>
          <w:rFonts w:ascii="Arial" w:hAnsi="Arial" w:cs="Arial"/>
          <w:sz w:val="20"/>
          <w:szCs w:val="20"/>
        </w:rPr>
      </w:pPr>
      <w:r w:rsidRPr="003A15F7">
        <w:rPr>
          <w:rFonts w:ascii="Arial" w:hAnsi="Arial" w:cs="Arial"/>
          <w:sz w:val="20"/>
          <w:szCs w:val="20"/>
        </w:rPr>
        <w:t xml:space="preserve">Dodatkowe akumulatory (zestaw) lub szybka ładowarka. </w:t>
      </w:r>
    </w:p>
    <w:p w14:paraId="3D7992CB" w14:textId="19F53376" w:rsidR="0094760F" w:rsidRPr="007353D6" w:rsidRDefault="0094760F" w:rsidP="00E41B67">
      <w:pPr>
        <w:tabs>
          <w:tab w:val="left" w:pos="720"/>
        </w:tabs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46EEACC2" w14:textId="10C81E77" w:rsidR="0076119F" w:rsidRPr="00151E40" w:rsidRDefault="0076119F" w:rsidP="00151E4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sectPr w:rsidR="0076119F" w:rsidRPr="00151E40" w:rsidSect="00963E9C">
      <w:headerReference w:type="default" r:id="rId8"/>
      <w:footerReference w:type="default" r:id="rId9"/>
      <w:pgSz w:w="12240" w:h="15840"/>
      <w:pgMar w:top="1417" w:right="1417" w:bottom="1417" w:left="1418" w:header="720" w:footer="720" w:gutter="0"/>
      <w:cols w:space="720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6BEDBD28" w16cex:dateUtc="2026-03-23T13:17:00Z"/>
  <w16cex:commentExtensible w16cex:durableId="604F819F" w16cex:dateUtc="2026-03-23T13:17:00Z"/>
  <w16cex:commentExtensible w16cex:durableId="69F7ECDB" w16cex:dateUtc="2026-03-23T13:20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79527720" w16cid:durableId="79527720"/>
  <w16cid:commentId w16cid:paraId="368F2E2F" w16cid:durableId="6BEDBD28"/>
  <w16cid:commentId w16cid:paraId="6791F68E" w16cid:durableId="6791F68E"/>
  <w16cid:commentId w16cid:paraId="5BA727FF" w16cid:durableId="604F819F"/>
  <w16cid:commentId w16cid:paraId="1D62EFAD" w16cid:durableId="1D62EFAD"/>
  <w16cid:commentId w16cid:paraId="27050855" w16cid:durableId="69F7ECDB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198F197" w14:textId="77777777" w:rsidR="006A7FFE" w:rsidRDefault="006A7FFE" w:rsidP="007353D6">
      <w:pPr>
        <w:spacing w:after="0" w:line="240" w:lineRule="auto"/>
      </w:pPr>
      <w:r>
        <w:separator/>
      </w:r>
    </w:p>
  </w:endnote>
  <w:endnote w:type="continuationSeparator" w:id="0">
    <w:p w14:paraId="53D8B877" w14:textId="77777777" w:rsidR="006A7FFE" w:rsidRDefault="006A7FFE" w:rsidP="007353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07359042"/>
      <w:docPartObj>
        <w:docPartGallery w:val="Page Numbers (Bottom of Page)"/>
        <w:docPartUnique/>
      </w:docPartObj>
    </w:sdtPr>
    <w:sdtEndPr>
      <w:rPr>
        <w:sz w:val="18"/>
      </w:rPr>
    </w:sdtEndPr>
    <w:sdtContent>
      <w:p w14:paraId="0A633A66" w14:textId="331DCD06" w:rsidR="00CA41A9" w:rsidRPr="00CA41A9" w:rsidRDefault="00CA41A9">
        <w:pPr>
          <w:pStyle w:val="Stopka"/>
          <w:jc w:val="right"/>
          <w:rPr>
            <w:sz w:val="18"/>
          </w:rPr>
        </w:pPr>
        <w:r w:rsidRPr="00CA41A9">
          <w:rPr>
            <w:sz w:val="18"/>
          </w:rPr>
          <w:fldChar w:fldCharType="begin"/>
        </w:r>
        <w:r w:rsidRPr="00CA41A9">
          <w:rPr>
            <w:sz w:val="18"/>
          </w:rPr>
          <w:instrText>PAGE   \* MERGEFORMAT</w:instrText>
        </w:r>
        <w:r w:rsidRPr="00CA41A9">
          <w:rPr>
            <w:sz w:val="18"/>
          </w:rPr>
          <w:fldChar w:fldCharType="separate"/>
        </w:r>
        <w:r w:rsidR="00151E40">
          <w:rPr>
            <w:noProof/>
            <w:sz w:val="18"/>
          </w:rPr>
          <w:t>3</w:t>
        </w:r>
        <w:r w:rsidRPr="00CA41A9">
          <w:rPr>
            <w:sz w:val="18"/>
          </w:rPr>
          <w:fldChar w:fldCharType="end"/>
        </w:r>
      </w:p>
    </w:sdtContent>
  </w:sdt>
  <w:p w14:paraId="0F28465D" w14:textId="77777777" w:rsidR="00CA41A9" w:rsidRDefault="00CA41A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0FC36C3" w14:textId="77777777" w:rsidR="006A7FFE" w:rsidRDefault="006A7FFE" w:rsidP="007353D6">
      <w:pPr>
        <w:spacing w:after="0" w:line="240" w:lineRule="auto"/>
      </w:pPr>
      <w:r>
        <w:separator/>
      </w:r>
    </w:p>
  </w:footnote>
  <w:footnote w:type="continuationSeparator" w:id="0">
    <w:p w14:paraId="77094E0B" w14:textId="77777777" w:rsidR="006A7FFE" w:rsidRDefault="006A7FFE" w:rsidP="007353D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D4DBE2" w14:textId="08761369" w:rsidR="007353D6" w:rsidRDefault="007353D6">
    <w:pPr>
      <w:pStyle w:val="Nagwek"/>
    </w:pPr>
    <w:r>
      <w:t>Znak Sprawy: ZP3/7175/26</w:t>
    </w:r>
  </w:p>
  <w:p w14:paraId="34D3678E" w14:textId="77777777" w:rsidR="007353D6" w:rsidRDefault="007353D6">
    <w:pPr>
      <w:pStyle w:val="Nagwek"/>
    </w:pPr>
  </w:p>
  <w:p w14:paraId="45721EA5" w14:textId="44372E19" w:rsidR="007353D6" w:rsidRDefault="007353D6" w:rsidP="007353D6">
    <w:pPr>
      <w:pStyle w:val="Nagwek"/>
      <w:jc w:val="right"/>
    </w:pPr>
    <w:r>
      <w:t>Załącznik A do SWZ</w:t>
    </w:r>
  </w:p>
  <w:p w14:paraId="13F04376" w14:textId="08E1797D" w:rsidR="00151E40" w:rsidRDefault="00151E40" w:rsidP="007353D6">
    <w:pPr>
      <w:pStyle w:val="Nagwek"/>
      <w:jc w:val="right"/>
    </w:pPr>
  </w:p>
  <w:p w14:paraId="4CFE6263" w14:textId="3BF5F84B" w:rsidR="00151E40" w:rsidRDefault="00151E40" w:rsidP="00151E40">
    <w:pPr>
      <w:pStyle w:val="Nagwek"/>
      <w:jc w:val="center"/>
    </w:pPr>
    <w:r>
      <w:t>Opis przedmiotu zamówienia</w:t>
    </w:r>
  </w:p>
  <w:p w14:paraId="6C816E00" w14:textId="77777777" w:rsidR="007353D6" w:rsidRDefault="007353D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960DF0"/>
    <w:multiLevelType w:val="multilevel"/>
    <w:tmpl w:val="A192F0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1E13D82"/>
    <w:multiLevelType w:val="hybridMultilevel"/>
    <w:tmpl w:val="B93AA04E"/>
    <w:lvl w:ilvl="0" w:tplc="1B04F292">
      <w:start w:val="2"/>
      <w:numFmt w:val="bullet"/>
      <w:lvlText w:val="•"/>
      <w:lvlJc w:val="left"/>
      <w:pPr>
        <w:ind w:left="1440" w:hanging="360"/>
      </w:pPr>
      <w:rPr>
        <w:rFonts w:ascii="Aptos" w:eastAsiaTheme="minorHAnsi" w:hAnsi="Aptos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2C8503D"/>
    <w:multiLevelType w:val="hybridMultilevel"/>
    <w:tmpl w:val="A0B6D8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7A6A73"/>
    <w:multiLevelType w:val="hybridMultilevel"/>
    <w:tmpl w:val="8FF071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357AC"/>
    <w:multiLevelType w:val="hybridMultilevel"/>
    <w:tmpl w:val="27F07132"/>
    <w:lvl w:ilvl="0" w:tplc="04150017">
      <w:start w:val="1"/>
      <w:numFmt w:val="lowerLetter"/>
      <w:lvlText w:val="%1)"/>
      <w:lvlJc w:val="left"/>
      <w:pPr>
        <w:ind w:left="1856" w:hanging="360"/>
      </w:pPr>
      <w:rPr>
        <w:rFonts w:eastAsia="Times New Roman" w:hint="default"/>
      </w:rPr>
    </w:lvl>
    <w:lvl w:ilvl="1" w:tplc="04150019">
      <w:start w:val="1"/>
      <w:numFmt w:val="lowerLetter"/>
      <w:lvlText w:val="%2."/>
      <w:lvlJc w:val="left"/>
      <w:pPr>
        <w:ind w:left="2576" w:hanging="360"/>
      </w:pPr>
    </w:lvl>
    <w:lvl w:ilvl="2" w:tplc="0415001B" w:tentative="1">
      <w:start w:val="1"/>
      <w:numFmt w:val="lowerRoman"/>
      <w:lvlText w:val="%3."/>
      <w:lvlJc w:val="right"/>
      <w:pPr>
        <w:ind w:left="3296" w:hanging="180"/>
      </w:pPr>
    </w:lvl>
    <w:lvl w:ilvl="3" w:tplc="0415000F" w:tentative="1">
      <w:start w:val="1"/>
      <w:numFmt w:val="decimal"/>
      <w:lvlText w:val="%4."/>
      <w:lvlJc w:val="left"/>
      <w:pPr>
        <w:ind w:left="4016" w:hanging="360"/>
      </w:pPr>
    </w:lvl>
    <w:lvl w:ilvl="4" w:tplc="04150019" w:tentative="1">
      <w:start w:val="1"/>
      <w:numFmt w:val="lowerLetter"/>
      <w:lvlText w:val="%5."/>
      <w:lvlJc w:val="left"/>
      <w:pPr>
        <w:ind w:left="4736" w:hanging="360"/>
      </w:pPr>
    </w:lvl>
    <w:lvl w:ilvl="5" w:tplc="0415001B" w:tentative="1">
      <w:start w:val="1"/>
      <w:numFmt w:val="lowerRoman"/>
      <w:lvlText w:val="%6."/>
      <w:lvlJc w:val="right"/>
      <w:pPr>
        <w:ind w:left="5456" w:hanging="180"/>
      </w:pPr>
    </w:lvl>
    <w:lvl w:ilvl="6" w:tplc="0415000F" w:tentative="1">
      <w:start w:val="1"/>
      <w:numFmt w:val="decimal"/>
      <w:lvlText w:val="%7."/>
      <w:lvlJc w:val="left"/>
      <w:pPr>
        <w:ind w:left="6176" w:hanging="360"/>
      </w:pPr>
    </w:lvl>
    <w:lvl w:ilvl="7" w:tplc="04150019" w:tentative="1">
      <w:start w:val="1"/>
      <w:numFmt w:val="lowerLetter"/>
      <w:lvlText w:val="%8."/>
      <w:lvlJc w:val="left"/>
      <w:pPr>
        <w:ind w:left="6896" w:hanging="360"/>
      </w:pPr>
    </w:lvl>
    <w:lvl w:ilvl="8" w:tplc="0415001B" w:tentative="1">
      <w:start w:val="1"/>
      <w:numFmt w:val="lowerRoman"/>
      <w:lvlText w:val="%9."/>
      <w:lvlJc w:val="right"/>
      <w:pPr>
        <w:ind w:left="7616" w:hanging="180"/>
      </w:pPr>
    </w:lvl>
  </w:abstractNum>
  <w:abstractNum w:abstractNumId="5" w15:restartNumberingAfterBreak="0">
    <w:nsid w:val="1FEB263A"/>
    <w:multiLevelType w:val="hybridMultilevel"/>
    <w:tmpl w:val="392EF9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349A716C">
      <w:start w:val="1"/>
      <w:numFmt w:val="decimal"/>
      <w:lvlText w:val="%4)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3041756"/>
    <w:multiLevelType w:val="hybridMultilevel"/>
    <w:tmpl w:val="1102BB70"/>
    <w:lvl w:ilvl="0" w:tplc="0415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F06004A"/>
    <w:multiLevelType w:val="hybridMultilevel"/>
    <w:tmpl w:val="75BE874C"/>
    <w:lvl w:ilvl="0" w:tplc="0415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8" w15:restartNumberingAfterBreak="0">
    <w:nsid w:val="41C56E88"/>
    <w:multiLevelType w:val="hybridMultilevel"/>
    <w:tmpl w:val="525E4538"/>
    <w:lvl w:ilvl="0" w:tplc="0415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9" w15:restartNumberingAfterBreak="0">
    <w:nsid w:val="435850E2"/>
    <w:multiLevelType w:val="hybridMultilevel"/>
    <w:tmpl w:val="347A757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9662540"/>
    <w:multiLevelType w:val="hybridMultilevel"/>
    <w:tmpl w:val="6D62B81C"/>
    <w:lvl w:ilvl="0" w:tplc="0415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1" w15:restartNumberingAfterBreak="0">
    <w:nsid w:val="4C674E2A"/>
    <w:multiLevelType w:val="hybridMultilevel"/>
    <w:tmpl w:val="CDE67D5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6B233EF"/>
    <w:multiLevelType w:val="multilevel"/>
    <w:tmpl w:val="C6CC0A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)"/>
      <w:lvlJc w:val="left"/>
      <w:pPr>
        <w:ind w:left="7874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62CF736C"/>
    <w:multiLevelType w:val="hybridMultilevel"/>
    <w:tmpl w:val="FEF0F630"/>
    <w:lvl w:ilvl="0" w:tplc="426CBCF2">
      <w:start w:val="1"/>
      <w:numFmt w:val="lowerLetter"/>
      <w:lvlText w:val="%1)"/>
      <w:lvlJc w:val="left"/>
      <w:pPr>
        <w:ind w:left="1347" w:hanging="360"/>
      </w:pPr>
      <w:rPr>
        <w:rFonts w:hint="default"/>
        <w:b/>
        <w:u w:val="single"/>
      </w:rPr>
    </w:lvl>
    <w:lvl w:ilvl="1" w:tplc="04150019" w:tentative="1">
      <w:start w:val="1"/>
      <w:numFmt w:val="lowerLetter"/>
      <w:lvlText w:val="%2."/>
      <w:lvlJc w:val="left"/>
      <w:pPr>
        <w:ind w:left="2067" w:hanging="360"/>
      </w:pPr>
    </w:lvl>
    <w:lvl w:ilvl="2" w:tplc="0415001B" w:tentative="1">
      <w:start w:val="1"/>
      <w:numFmt w:val="lowerRoman"/>
      <w:lvlText w:val="%3."/>
      <w:lvlJc w:val="right"/>
      <w:pPr>
        <w:ind w:left="2787" w:hanging="180"/>
      </w:pPr>
    </w:lvl>
    <w:lvl w:ilvl="3" w:tplc="0415000F" w:tentative="1">
      <w:start w:val="1"/>
      <w:numFmt w:val="decimal"/>
      <w:lvlText w:val="%4."/>
      <w:lvlJc w:val="left"/>
      <w:pPr>
        <w:ind w:left="3507" w:hanging="360"/>
      </w:pPr>
    </w:lvl>
    <w:lvl w:ilvl="4" w:tplc="04150019" w:tentative="1">
      <w:start w:val="1"/>
      <w:numFmt w:val="lowerLetter"/>
      <w:lvlText w:val="%5."/>
      <w:lvlJc w:val="left"/>
      <w:pPr>
        <w:ind w:left="4227" w:hanging="360"/>
      </w:pPr>
    </w:lvl>
    <w:lvl w:ilvl="5" w:tplc="0415001B" w:tentative="1">
      <w:start w:val="1"/>
      <w:numFmt w:val="lowerRoman"/>
      <w:lvlText w:val="%6."/>
      <w:lvlJc w:val="right"/>
      <w:pPr>
        <w:ind w:left="4947" w:hanging="180"/>
      </w:pPr>
    </w:lvl>
    <w:lvl w:ilvl="6" w:tplc="0415000F" w:tentative="1">
      <w:start w:val="1"/>
      <w:numFmt w:val="decimal"/>
      <w:lvlText w:val="%7."/>
      <w:lvlJc w:val="left"/>
      <w:pPr>
        <w:ind w:left="5667" w:hanging="360"/>
      </w:pPr>
    </w:lvl>
    <w:lvl w:ilvl="7" w:tplc="04150019" w:tentative="1">
      <w:start w:val="1"/>
      <w:numFmt w:val="lowerLetter"/>
      <w:lvlText w:val="%8."/>
      <w:lvlJc w:val="left"/>
      <w:pPr>
        <w:ind w:left="6387" w:hanging="360"/>
      </w:pPr>
    </w:lvl>
    <w:lvl w:ilvl="8" w:tplc="0415001B" w:tentative="1">
      <w:start w:val="1"/>
      <w:numFmt w:val="lowerRoman"/>
      <w:lvlText w:val="%9."/>
      <w:lvlJc w:val="right"/>
      <w:pPr>
        <w:ind w:left="7107" w:hanging="180"/>
      </w:pPr>
    </w:lvl>
  </w:abstractNum>
  <w:abstractNum w:abstractNumId="14" w15:restartNumberingAfterBreak="0">
    <w:nsid w:val="65F705BF"/>
    <w:multiLevelType w:val="multilevel"/>
    <w:tmpl w:val="1CC05F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B295ADE"/>
    <w:multiLevelType w:val="hybridMultilevel"/>
    <w:tmpl w:val="D4E4BE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0647011"/>
    <w:multiLevelType w:val="multilevel"/>
    <w:tmpl w:val="0386A3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A043D03"/>
    <w:multiLevelType w:val="multilevel"/>
    <w:tmpl w:val="C690F8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B56560E"/>
    <w:multiLevelType w:val="hybridMultilevel"/>
    <w:tmpl w:val="553A0664"/>
    <w:lvl w:ilvl="0" w:tplc="1B04F292">
      <w:start w:val="2"/>
      <w:numFmt w:val="bullet"/>
      <w:lvlText w:val="•"/>
      <w:lvlJc w:val="left"/>
      <w:pPr>
        <w:ind w:left="1440" w:hanging="360"/>
      </w:pPr>
      <w:rPr>
        <w:rFonts w:ascii="Aptos" w:eastAsiaTheme="minorHAnsi" w:hAnsi="Aptos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13"/>
  </w:num>
  <w:num w:numId="4">
    <w:abstractNumId w:val="2"/>
  </w:num>
  <w:num w:numId="5">
    <w:abstractNumId w:val="12"/>
  </w:num>
  <w:num w:numId="6">
    <w:abstractNumId w:val="16"/>
  </w:num>
  <w:num w:numId="7">
    <w:abstractNumId w:val="17"/>
  </w:num>
  <w:num w:numId="8">
    <w:abstractNumId w:val="0"/>
  </w:num>
  <w:num w:numId="9">
    <w:abstractNumId w:val="1"/>
  </w:num>
  <w:num w:numId="10">
    <w:abstractNumId w:val="18"/>
  </w:num>
  <w:num w:numId="11">
    <w:abstractNumId w:val="14"/>
  </w:num>
  <w:num w:numId="12">
    <w:abstractNumId w:val="6"/>
  </w:num>
  <w:num w:numId="13">
    <w:abstractNumId w:val="11"/>
  </w:num>
  <w:num w:numId="14">
    <w:abstractNumId w:val="8"/>
  </w:num>
  <w:num w:numId="15">
    <w:abstractNumId w:val="10"/>
  </w:num>
  <w:num w:numId="16">
    <w:abstractNumId w:val="15"/>
  </w:num>
  <w:num w:numId="17">
    <w:abstractNumId w:val="7"/>
  </w:num>
  <w:num w:numId="18">
    <w:abstractNumId w:val="9"/>
  </w:num>
  <w:num w:numId="1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xNDW0NDEzMjY2MTI1NDRU0lEKTi0uzszPAykwrQUASR+ChiwAAAA="/>
  </w:docVars>
  <w:rsids>
    <w:rsidRoot w:val="0094760F"/>
    <w:rsid w:val="00004156"/>
    <w:rsid w:val="000B6B19"/>
    <w:rsid w:val="00151E40"/>
    <w:rsid w:val="00164E33"/>
    <w:rsid w:val="001B48FC"/>
    <w:rsid w:val="001F249C"/>
    <w:rsid w:val="001F5387"/>
    <w:rsid w:val="00211545"/>
    <w:rsid w:val="0022602B"/>
    <w:rsid w:val="00282C7D"/>
    <w:rsid w:val="002860BA"/>
    <w:rsid w:val="002C00E9"/>
    <w:rsid w:val="003134DB"/>
    <w:rsid w:val="00333D2B"/>
    <w:rsid w:val="0033635B"/>
    <w:rsid w:val="00347969"/>
    <w:rsid w:val="003770D2"/>
    <w:rsid w:val="003924E4"/>
    <w:rsid w:val="003A15F7"/>
    <w:rsid w:val="003A29ED"/>
    <w:rsid w:val="003B2A32"/>
    <w:rsid w:val="003B6D15"/>
    <w:rsid w:val="003C3FC1"/>
    <w:rsid w:val="003F7F47"/>
    <w:rsid w:val="004640DE"/>
    <w:rsid w:val="004711CB"/>
    <w:rsid w:val="00486BDA"/>
    <w:rsid w:val="004A0A28"/>
    <w:rsid w:val="004B350D"/>
    <w:rsid w:val="004B38AF"/>
    <w:rsid w:val="004D0D34"/>
    <w:rsid w:val="004F1F14"/>
    <w:rsid w:val="00561397"/>
    <w:rsid w:val="0056458B"/>
    <w:rsid w:val="0059044C"/>
    <w:rsid w:val="006168B3"/>
    <w:rsid w:val="00645D64"/>
    <w:rsid w:val="0068505E"/>
    <w:rsid w:val="00695657"/>
    <w:rsid w:val="006A7FFE"/>
    <w:rsid w:val="006D102D"/>
    <w:rsid w:val="006E6CCF"/>
    <w:rsid w:val="007037E7"/>
    <w:rsid w:val="007353D6"/>
    <w:rsid w:val="00753605"/>
    <w:rsid w:val="0076119F"/>
    <w:rsid w:val="007815C1"/>
    <w:rsid w:val="00783059"/>
    <w:rsid w:val="007856A3"/>
    <w:rsid w:val="007A04E2"/>
    <w:rsid w:val="007E5C0B"/>
    <w:rsid w:val="007E79CE"/>
    <w:rsid w:val="007F0541"/>
    <w:rsid w:val="008069A9"/>
    <w:rsid w:val="00817B53"/>
    <w:rsid w:val="00823BA8"/>
    <w:rsid w:val="008C2018"/>
    <w:rsid w:val="0094006D"/>
    <w:rsid w:val="00940488"/>
    <w:rsid w:val="0094760F"/>
    <w:rsid w:val="00963E9C"/>
    <w:rsid w:val="009679E7"/>
    <w:rsid w:val="00967EAA"/>
    <w:rsid w:val="00980C34"/>
    <w:rsid w:val="009C6102"/>
    <w:rsid w:val="00A029DD"/>
    <w:rsid w:val="00A15F39"/>
    <w:rsid w:val="00A82EC7"/>
    <w:rsid w:val="00AA33EB"/>
    <w:rsid w:val="00AB4DC5"/>
    <w:rsid w:val="00AC37FD"/>
    <w:rsid w:val="00AD71E6"/>
    <w:rsid w:val="00AF202F"/>
    <w:rsid w:val="00AF2B61"/>
    <w:rsid w:val="00B10E0A"/>
    <w:rsid w:val="00B7040D"/>
    <w:rsid w:val="00B8444F"/>
    <w:rsid w:val="00BB721C"/>
    <w:rsid w:val="00BB78B0"/>
    <w:rsid w:val="00BC4043"/>
    <w:rsid w:val="00C1080F"/>
    <w:rsid w:val="00C26508"/>
    <w:rsid w:val="00C45CB5"/>
    <w:rsid w:val="00CA41A9"/>
    <w:rsid w:val="00CE4B42"/>
    <w:rsid w:val="00D1056D"/>
    <w:rsid w:val="00D31693"/>
    <w:rsid w:val="00D615AC"/>
    <w:rsid w:val="00D67AC5"/>
    <w:rsid w:val="00DA69D6"/>
    <w:rsid w:val="00DB11F0"/>
    <w:rsid w:val="00DD3B53"/>
    <w:rsid w:val="00E15379"/>
    <w:rsid w:val="00E20CAA"/>
    <w:rsid w:val="00E351D9"/>
    <w:rsid w:val="00E41B67"/>
    <w:rsid w:val="00E9550B"/>
    <w:rsid w:val="00EA664B"/>
    <w:rsid w:val="00EB72FD"/>
    <w:rsid w:val="00ED6B2F"/>
    <w:rsid w:val="00EF45B0"/>
    <w:rsid w:val="00F04A8D"/>
    <w:rsid w:val="00F32402"/>
    <w:rsid w:val="00F97AA5"/>
    <w:rsid w:val="00FA329A"/>
    <w:rsid w:val="00FD06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FE1B90"/>
  <w15:chartTrackingRefBased/>
  <w15:docId w15:val="{5F69A984-A39A-4956-843E-FCA216FB1C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94760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4760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4760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94760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94760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94760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94760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4760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94760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94760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4760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4760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94760F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94760F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94760F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94760F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4760F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94760F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94760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94760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94760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94760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94760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94760F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94760F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94760F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94760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94760F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94760F"/>
    <w:rPr>
      <w:b/>
      <w:bCs/>
      <w:smallCaps/>
      <w:color w:val="0F4761" w:themeColor="accent1" w:themeShade="BF"/>
      <w:spacing w:val="5"/>
    </w:rPr>
  </w:style>
  <w:style w:type="character" w:styleId="Odwoaniedokomentarza">
    <w:name w:val="annotation reference"/>
    <w:basedOn w:val="Domylnaczcionkaakapitu"/>
    <w:unhideWhenUsed/>
    <w:rsid w:val="007815C1"/>
    <w:rPr>
      <w:sz w:val="16"/>
      <w:szCs w:val="16"/>
    </w:rPr>
  </w:style>
  <w:style w:type="paragraph" w:styleId="Tekstkomentarza">
    <w:name w:val="annotation text"/>
    <w:basedOn w:val="Normalny"/>
    <w:link w:val="TekstkomentarzaZnak"/>
    <w:unhideWhenUsed/>
    <w:rsid w:val="007815C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7815C1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815C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815C1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815C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815C1"/>
    <w:rPr>
      <w:rFonts w:ascii="Segoe UI" w:hAnsi="Segoe UI" w:cs="Segoe UI"/>
      <w:sz w:val="18"/>
      <w:szCs w:val="18"/>
    </w:rPr>
  </w:style>
  <w:style w:type="paragraph" w:customStyle="1" w:styleId="paragraph">
    <w:name w:val="paragraph"/>
    <w:basedOn w:val="Normalny"/>
    <w:rsid w:val="00164E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Tekstpodstawowy">
    <w:name w:val="Body Text"/>
    <w:basedOn w:val="Normalny"/>
    <w:link w:val="TekstpodstawowyZnak"/>
    <w:rsid w:val="00645D64"/>
    <w:pPr>
      <w:spacing w:after="12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x-none" w:eastAsia="x-none"/>
      <w14:ligatures w14:val="none"/>
    </w:rPr>
  </w:style>
  <w:style w:type="character" w:customStyle="1" w:styleId="TekstpodstawowyZnak">
    <w:name w:val="Tekst podstawowy Znak"/>
    <w:basedOn w:val="Domylnaczcionkaakapitu"/>
    <w:link w:val="Tekstpodstawowy"/>
    <w:rsid w:val="00645D64"/>
    <w:rPr>
      <w:rFonts w:ascii="Times New Roman" w:eastAsia="Times New Roman" w:hAnsi="Times New Roman" w:cs="Times New Roman"/>
      <w:kern w:val="0"/>
      <w:sz w:val="24"/>
      <w:szCs w:val="24"/>
      <w:lang w:val="x-none" w:eastAsia="x-none"/>
      <w14:ligatures w14:val="none"/>
    </w:rPr>
  </w:style>
  <w:style w:type="character" w:customStyle="1" w:styleId="normaltextrun">
    <w:name w:val="normaltextrun"/>
    <w:rsid w:val="00645D64"/>
  </w:style>
  <w:style w:type="character" w:customStyle="1" w:styleId="eop">
    <w:name w:val="eop"/>
    <w:rsid w:val="00645D64"/>
  </w:style>
  <w:style w:type="character" w:customStyle="1" w:styleId="contextualspellingandgrammarerror">
    <w:name w:val="contextualspellingandgrammarerror"/>
    <w:rsid w:val="00645D64"/>
  </w:style>
  <w:style w:type="character" w:styleId="Hipercze">
    <w:name w:val="Hyperlink"/>
    <w:uiPriority w:val="99"/>
    <w:rsid w:val="00333D2B"/>
    <w:rPr>
      <w:color w:val="0000FF"/>
      <w:u w:val="single"/>
    </w:rPr>
  </w:style>
  <w:style w:type="paragraph" w:styleId="Poprawka">
    <w:name w:val="Revision"/>
    <w:hidden/>
    <w:uiPriority w:val="99"/>
    <w:semiHidden/>
    <w:rsid w:val="003B2A32"/>
    <w:pPr>
      <w:spacing w:after="0" w:line="240" w:lineRule="auto"/>
    </w:pPr>
  </w:style>
  <w:style w:type="table" w:styleId="Tabela-Siatka">
    <w:name w:val="Table Grid"/>
    <w:basedOn w:val="Standardowy"/>
    <w:uiPriority w:val="39"/>
    <w:rsid w:val="003F7F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7353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353D6"/>
  </w:style>
  <w:style w:type="paragraph" w:styleId="Stopka">
    <w:name w:val="footer"/>
    <w:basedOn w:val="Normalny"/>
    <w:link w:val="StopkaZnak"/>
    <w:uiPriority w:val="99"/>
    <w:unhideWhenUsed/>
    <w:rsid w:val="007353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353D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594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8257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5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06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98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709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5399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502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194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6730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083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1216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939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76012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420905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6853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11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061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0637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5008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1822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133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49489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536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69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5228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72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0085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593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4610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349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2156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3442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35575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0993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819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1079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0914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2934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7863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6868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3093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59154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6955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8594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033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16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11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451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68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348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7513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813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04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81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848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554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390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28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17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5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1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microsoft.com/office/2016/09/relationships/commentsIds" Target="commentsId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microsoft.com/office/2018/08/relationships/commentsExtensible" Target="commentsExtensible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58C5D9-CDFF-447D-8962-74C41414E4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938</Words>
  <Characters>5631</Characters>
  <Application>Microsoft Office Word</Application>
  <DocSecurity>0</DocSecurity>
  <Lines>46</Lines>
  <Paragraphs>13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Grobelny</dc:creator>
  <cp:keywords/>
  <dc:description/>
  <cp:lastModifiedBy>Aleksandra Siemińska-Lińska</cp:lastModifiedBy>
  <cp:revision>2</cp:revision>
  <cp:lastPrinted>2026-03-25T13:28:00Z</cp:lastPrinted>
  <dcterms:created xsi:type="dcterms:W3CDTF">2026-03-25T13:28:00Z</dcterms:created>
  <dcterms:modified xsi:type="dcterms:W3CDTF">2026-03-25T13:28:00Z</dcterms:modified>
</cp:coreProperties>
</file>