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319747-2026 - Procedura konkurencyjna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Polska – Środki przeciwnowotworowe i immunomodulacyjne – Dostawy sukcesywne produktów leczniczych stosowanych w ramach Szpitalnych Programów Lekowych oraz Chemioterapii na okres 24 miesięcy dla 10 Wojskowego Szpitala Klinicznego z Polikliniką SPZOZ w Bydgoszczy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OJ S 90/2026 11/05/2026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o zamówieniu lub ogłoszenie o koncesji – tryb standardowy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 Nabywca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6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Status prawny nabywcy: Podmiot prawa publicznego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Sektor działalności instytucji zamawiającej: Zdrowie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 Procedura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Dostawy sukcesywne produktów leczniczych stosowanych w ramach Szpitalnych Programów Lekowych oraz Chemioterapii na okres 24 miesięcy dla 10 Wojskowego Szpitala Klinicznego z Polikliniką SPZOZ w Bydgoszczy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Dostawy sukcesywne produktów leczniczych stosowanych w ramach Szpitalnych Programów Lekowych oraz Chemioterapii na okres 24 miesięcy dla 10 Wojskowego Szpitala Klinicznego z Polikliniką SPZOZ w Bydgoszczy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 procedury: 06a60556-c6be-4aba-844e-a55e765256a8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62/2026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procedury: Otwarta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 jest przyspieszona: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Uzasadnienie procedury przyspieszonej: Zamawiający, działając na podstawie art. 138 ust. 2 pkt 2 ustawy z dnia 11 września 2019 r. – Prawo zamówień publicznych, skraca termin składania ofert do 15 dni, ponieważ w niniejszym postępowaniu zachodzi pilna potrzeba udzielenia zamówienia, a skrócenie terminu jest obiektywnie uzasadnione okolicznościami faktycznymi oraz interesem publicznym. Przedmiot zamówienia obejmuje dostawy wysokospecjalistycznych produktów leczniczych stosowanych w ramach Szpitalnych Programów Lekowych (SZPL) oraz Szpitalnych Programów Chemioterapii (SZPCH). Produkty te są bezpośrednio związane z realizacją terapii pacjentów, w szczególności w obszarach onkologii, hematologii, neurologii, immunologii oraz innych dziedzin medycyny specjalistycznej, i mają kluczowe znaczenie dla zachowania ciągłości leczenia. W przypadku terapii realizowanych w ramach SZPL i SZPCH: • leczenie odbywa się według ściśle określonych schematów terapeutycznych i harmonogramów podań, • brak dostępności produktu leczniczego w wyznaczonym terminie skutkuje koniecznością przerwania lub przesunięcia terapii, • opóźnienia mogą prowadzić do pogorszenia stanu zdrowia pacjenta, utraty efektu terapeutycznego oraz konieczności stosowania alternatywnych, często mniej efektywnych lub bardziej kosztownych metod leczenia. Dodatkowo wskazać należy, iż od 1 kwietnia 2026 r. weszły w życie zmiany w wykazie leków refundowanych, obejmujące wprowadzenie nowych produktów leczniczych oraz rozszerzenie wskazań terapeutycznych w ramach programów lekowych. Zmiany te skutkują koniecznością niezwłocznego dostosowania asortymentu zamawianych produktów do aktualnych decyzji refundacyjnych, a tym samym pilnego przeprowadzenia postępowania w celu zabezpieczenia dostępności nowych terapii dla pacjentów kwalifikujących się do leczenia zgodnie z obowiązującymi przepisami. Brak szybkiego wdrożenia nowych leków objętych refundacją mógłby prowadzić do: • ograniczenia dostępu pacjentów do aktualnych, refundowanych terapii, • konieczności stosowania terapii mniej optymalnych klinicznie, • ryzyka niewykorzystania możliwości terapeutycznych przewidzianych w obowiązujących programach lekowych, • powstania niezgodności pomiędzy realizowanymi świadczeniami a aktualnym stanem prawnym. Potrzeba pilnego udzielenia zamówienia wynika również z konieczności zapewnienia nieprzerwanej dostępności leków przed upływem terminów obowiązywania aktualnych umów oraz przed wyczerpaniem zabezpieczeń kontraktowych. Zastosowanie podstawowego terminu składania ofert mogłoby doprowadzić do istotnych negatywnych skutków, w szczególności: • zagrożenia ciągłości terapii pacjentów objętych programami lekowymi i chemioterapią, • konieczności podejmowania działań interwencyjnych i zakupów doraźnych poza procedurą, • realizacji zakupów na mniej korzystnych warunkach ekonomicznych, • wzrostu kosztów po stronie Zamawiającego, • ryzyka niewykonania lub nienależytego wykonania świadczeń finansowanych ze środków publicznych. Podkreślenia wymaga, iż „pilna potrzeba” w rozumieniu przepisów p.z.p. nie jest tożsama z wystąpieniem zdarzeń nadzwyczajnych lub siły wyższej, lecz obejmuje również sytuacje wymagające przyspieszenia procedury w celu zapobieżenia negatywnym skutkom organizacyjnym, finansowym i klinicznym. W niniejszej sprawie potrzeba ta ma charakter realny i aktualny, a jej źródłem jest konieczność zapewnienia ciągłości leczenia pacjentów oraz dostosowania działalności Zamawiającego do aktualnych regulacji refundacyjnych. Dodatkowo należy wskazać, iż rynek produktów leczniczych objętych programami lekowymi i chemioterapią ma charakter specyficzny. W odniesieniu do wielu pozycji objętych zamówieniem: • występuje ograniczona liczba wykonawców, często jeden wykonawca (producent lub podmiot posiadający wyłączną dystrybucję), • brak jest realnej konkurencji w zakresie zamienności produktów w ramach danego programu terapeutycznego, • produkty są ściśle zdefiniowane i funkcjonują w ramach uregulowanego systemu refundacyjnego.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</w:t>
      </w: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w trakcie realizacji umowy przewiduje możliwość zastosowania prawa opcji, o którym mowa w art. 441 ustawy Pzp, polegającego na zwiększeniu ilości asortymentu o maksymalnie 50% pierwotnie zapotrzebowanych ilości lub poprzez wydłużenie terminu realizacji umowy o maksymalnie 12 miesięcy.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2.1.4.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Podstawa prawna: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Dyrektywa 2014/24/UE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na które jeden oferent może składać oferty: 25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których można udzielić jednemu oferentowi: 25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Powody wykluczenia źródła: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Aktywami zarządza likwidator: Dotyczy art. 109 ust. 1 pkt. 4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Działalność gospodarcza jest zawieszona: Dotyczy art. 109 ust. 1 pkt. 4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Niewypłacalność: Dotyczy art. 109 ust. 1 pkt. 4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płatności podatków: Dotyczy art. 108 ust. 1 pkt. 3 ustawy PZP oraz art. 109 ust. 1 pkt. 1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opłacenia składek na ubezpieczenie społeczne: Dotyczy art. 108 ust. 1 pkt. 3 ustawy PZP oraz art. 109 ust. 1 pkt. 1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Układ z wierzycielami: Dotyczy art. 109 ust. 1 pkt. 4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Upadłość: Dotyczy art. 109 ust. 1 pkt. 4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Porozumienia z innymi wykonawcami mające na celu zakłócenie konkurencji: Dotyczy art. 108 ust. 1 pkt. 5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Inna sytuacja podobna do upadłości wynikająca z prawa krajowego: Dotyczy art. 108 ust. 1 pkt. 5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 o charakterze wyłącznie krajowym: Dotyczy art. 108 ust. 1 pkt. 1 lit. g) oraz art. 108 ust 1 pkt 2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związane z wyrokami skazującymi za przestępstwo: Dotyczy art. 108 ust. 1 lit a) oraz art 108 ust 1 pkt 2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Praca dzieci i inne formy handlu ludźmi: Dotyczy art. 108 ust. 1 pkt 1 lit b, f) oraz art. 108 ust 1 pkt 2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Korupcja: Dotyczy art. 108 ust. 1 pkt 1 lit c) oraz art. 108 ust 1 pkt 2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Pranie pieniędzy lub finansowanie terroryzmu: Dotyczy art. 108 ust. 1 pkt 1 lit d) oraz art. 108 ust 1 pkt 2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Przestępstwa terrorystyczne lub przestępstwa związane z działalnością terrorystyczną: Dotyczy art. 108 ust. 1 pkt 1 lit e) oraz art. 108 ust 1 pkt 2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w dziedzinie prawa pracy: Dotyczy art. 108 ust. 1 pkt 1 lit h) oraz art. 108 ust 1 pkt 2 ustawy PZP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 Część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1. Toxinum botulinicum typum A ad iniectabile - proszek do sporządzenia roztworu do wstrzykiwań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</w:t>
      </w: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LOT-0002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2. Interferonum beta-1a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LOT-0003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3. Interferonum beta-1a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4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5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LOT-0004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4. Interferonum beta-1b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7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LOT-0005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5. Teriflunomidum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9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0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1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LOT-0006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6. Peginterferonum beta-1a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2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3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4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LOT-0007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7. Cladribinum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7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5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6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7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LOT-0008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8. Glatirameri acetas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8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8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9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0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LOT-0009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9. Tofersenum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9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Opis kryterium selekcji: O udzielenie zamówienia publicznego mogą ubiegać się wykonawcy, którzy spełniają warunki, dotyczące posiadania uprawnień do prowadzenia określonej działalności gospodarczej lub zawodowej, o ile wynika to z odrębnych przepisów. Ocena </w:t>
      </w: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1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2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3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LOT-0010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10. Certolizumabum pegol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4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5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6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11. Sekukinumab - roztwór do wstrzykiwań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7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8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9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LOT-0012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12. Pirfenidonum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12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0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1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2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LOT-0013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13. Daratumumabum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13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3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4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5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LOT-0014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14. Luspaterceptum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14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6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7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8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LOT-0015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15. Elranatamab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15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</w:t>
      </w: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9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0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1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LOT-0016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16. Talquetamabum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16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2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3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4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LOT-0017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17. Teclistamabum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17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5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6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7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LOT-0018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18. Mitoxantronum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18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8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9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0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LOT-0019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19. Doxorubicinum (w pegylowanych liposomach)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19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61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2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3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LOT-0020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20. Fludarabini phosphas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dokumentów zamówienia: </w:t>
      </w:r>
      <w:hyperlink r:id="rId64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5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6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21. Imatinibum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67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8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9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LOT-0022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22. Bendamustini hydrochloridum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22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0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1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2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LOT-0023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23. Risdiplamum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23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3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4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5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LOT-0024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Tytuł: 24. Afliberceptum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24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6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7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8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LOT-0025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25. Dexamethasonum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25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9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0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25/05/2026 08:00:00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25/05/2026 08:30:00 (UTC+02:00) czas wschodnioeuropejski, czas środkowoeuropejski letni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Miejsce: Otwarcie ofert odbędzie się w siedzibie Zamawiającego, za pośrednictwem platformy </w:t>
      </w:r>
      <w:hyperlink r:id="rId81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 Organizacje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090538318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Departament: Sekcja Zamówień Publicznych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Powstańców Warszawy 5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85-681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82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83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+48 261 417 448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84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85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https://e-propublico.pl/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ORG-0003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KRAJOWA IZBA ODWOŁAWCZA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010828091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Postępu 17a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02-676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Warszawski wschodni (PL912)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86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https://www.uzp.gov.pl/kio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87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odwolania@uzp.gov.pl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224587809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Faks: +48 224587800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88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89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ORG-0004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140264957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ul. Krucza 36 / Wspólna 6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00-522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Miasto Warszawa (PL911)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Sąd Polubowny przy Prokuratorii Generalnej Rzeczypospolitej Polskiej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90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sp@prokuratoria.gov.pl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226958504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strony internetowej: </w:t>
      </w:r>
      <w:hyperlink r:id="rId91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92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</w:t>
      </w:r>
    </w:p>
    <w:p w:rsidR="00F830C9" w:rsidRPr="00F830C9" w:rsidRDefault="00F830C9" w:rsidP="00F830C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ORG-0000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Publications Office of the European Union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PUBL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Luxembourg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2417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Luxembourg (LU000)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Luksemburg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93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ted@publications.europa.eu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+352 29291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94" w:history="1">
        <w:r w:rsidRPr="00F830C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https://op.europa.eu</w:t>
        </w:r>
      </w:hyperlink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TED eSender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ogłoszeniu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Identyfikator/wersja ogłoszenia: 29c53ac0-c684-4e7e-ac43-03a6333078d5  -  01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Typ formularza: Procedura konkurencyjna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ogłoszenia: Ogłoszenie o zamówieniu lub ogłoszenie o koncesji – tryb standardowy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Podrodzaj ogłoszenia: 16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– data wysłania: 07/05/2026 07:18:09 (UTC+00:00) czas zachodnioeuropejski, GMT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przedmiotowe ogłoszenie jest oficjalnie dostępne: polski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publikacji ogłoszenia: 319747-2026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wydania Dz.U. S: 90/2026</w:t>
      </w:r>
    </w:p>
    <w:p w:rsidR="00F830C9" w:rsidRPr="00F830C9" w:rsidRDefault="00F830C9" w:rsidP="00F830C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F830C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publikacji: 11/05/2026</w:t>
      </w:r>
    </w:p>
    <w:p w:rsidR="00EB29E1" w:rsidRPr="00F830C9" w:rsidRDefault="00336837">
      <w:pPr>
        <w:rPr>
          <w:rFonts w:ascii="Arial Narrow" w:hAnsi="Arial Narrow"/>
          <w:sz w:val="18"/>
          <w:szCs w:val="18"/>
        </w:rPr>
      </w:pPr>
    </w:p>
    <w:p w:rsidR="00F830C9" w:rsidRPr="00F830C9" w:rsidRDefault="00F830C9" w:rsidP="00F830C9">
      <w:pPr>
        <w:jc w:val="right"/>
        <w:rPr>
          <w:rFonts w:ascii="Arial Narrow" w:hAnsi="Arial Narrow"/>
          <w:sz w:val="18"/>
          <w:szCs w:val="18"/>
        </w:rPr>
      </w:pPr>
      <w:r w:rsidRPr="00F830C9">
        <w:rPr>
          <w:rFonts w:ascii="Arial Narrow" w:hAnsi="Arial Narrow"/>
          <w:sz w:val="18"/>
          <w:szCs w:val="18"/>
        </w:rPr>
        <w:t>Zamawiający</w:t>
      </w:r>
    </w:p>
    <w:p w:rsidR="00F830C9" w:rsidRPr="00F830C9" w:rsidRDefault="00F830C9" w:rsidP="00F830C9">
      <w:pPr>
        <w:jc w:val="right"/>
        <w:rPr>
          <w:rFonts w:ascii="Arial Narrow" w:hAnsi="Arial Narrow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830C9" w:rsidRP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F830C9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33</w:t>
      </w:r>
      <w:r w:rsidRPr="00F830C9">
        <w:rPr>
          <w:rFonts w:ascii="Arial Narrow" w:hAnsi="Arial Narrow" w:cs="Times New Roman"/>
          <w:sz w:val="18"/>
          <w:szCs w:val="18"/>
        </w:rPr>
        <w:t xml:space="preserve"> str.</w:t>
      </w:r>
    </w:p>
    <w:p w:rsidR="00F830C9" w:rsidRP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F830C9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F830C9" w:rsidRPr="00F830C9" w:rsidRDefault="00F830C9" w:rsidP="00F830C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F830C9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95" w:history="1">
        <w:r w:rsidRPr="00F830C9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F830C9" w:rsidRPr="00F830C9" w:rsidRDefault="00F830C9" w:rsidP="00F830C9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F830C9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11</w:t>
      </w:r>
      <w:r w:rsidRPr="00F830C9">
        <w:rPr>
          <w:rFonts w:ascii="Arial Narrow" w:hAnsi="Arial Narrow" w:cs="Times New Roman"/>
          <w:sz w:val="18"/>
          <w:szCs w:val="18"/>
        </w:rPr>
        <w:t>.0</w:t>
      </w:r>
      <w:r>
        <w:rPr>
          <w:rFonts w:ascii="Arial Narrow" w:hAnsi="Arial Narrow" w:cs="Times New Roman"/>
          <w:sz w:val="18"/>
          <w:szCs w:val="18"/>
        </w:rPr>
        <w:t>5</w:t>
      </w:r>
      <w:r w:rsidRPr="00F830C9">
        <w:rPr>
          <w:rFonts w:ascii="Arial Narrow" w:hAnsi="Arial Narrow" w:cs="Times New Roman"/>
          <w:sz w:val="18"/>
          <w:szCs w:val="18"/>
        </w:rPr>
        <w:t>.2026 r.</w:t>
      </w:r>
    </w:p>
    <w:p w:rsidR="00F830C9" w:rsidRPr="00F830C9" w:rsidRDefault="00F830C9" w:rsidP="00F830C9">
      <w:pPr>
        <w:rPr>
          <w:rFonts w:ascii="Arial Narrow" w:hAnsi="Arial Narrow"/>
          <w:sz w:val="18"/>
          <w:szCs w:val="18"/>
        </w:rPr>
      </w:pPr>
    </w:p>
    <w:sectPr w:rsidR="00F830C9" w:rsidRPr="00F830C9" w:rsidSect="00F830C9">
      <w:headerReference w:type="default" r:id="rId96"/>
      <w:footerReference w:type="default" r:id="rId9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837" w:rsidRDefault="00336837" w:rsidP="00F830C9">
      <w:pPr>
        <w:spacing w:after="0" w:line="240" w:lineRule="auto"/>
      </w:pPr>
      <w:r>
        <w:separator/>
      </w:r>
    </w:p>
  </w:endnote>
  <w:endnote w:type="continuationSeparator" w:id="1">
    <w:p w:rsidR="00336837" w:rsidRDefault="00336837" w:rsidP="00F83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92430576"/>
      <w:docPartObj>
        <w:docPartGallery w:val="Page Numbers (Bottom of Page)"/>
        <w:docPartUnique/>
      </w:docPartObj>
    </w:sdtPr>
    <w:sdtContent>
      <w:p w:rsidR="00F830C9" w:rsidRDefault="00F830C9">
        <w:pPr>
          <w:pStyle w:val="Stopka"/>
          <w:jc w:val="right"/>
        </w:pPr>
        <w:fldSimple w:instr=" PAGE   \* MERGEFORMAT ">
          <w:r>
            <w:rPr>
              <w:noProof/>
            </w:rPr>
            <w:t>33</w:t>
          </w:r>
        </w:fldSimple>
      </w:p>
    </w:sdtContent>
  </w:sdt>
  <w:p w:rsidR="00F830C9" w:rsidRDefault="00F830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837" w:rsidRDefault="00336837" w:rsidP="00F830C9">
      <w:pPr>
        <w:spacing w:after="0" w:line="240" w:lineRule="auto"/>
      </w:pPr>
      <w:r>
        <w:separator/>
      </w:r>
    </w:p>
  </w:footnote>
  <w:footnote w:type="continuationSeparator" w:id="1">
    <w:p w:rsidR="00336837" w:rsidRDefault="00336837" w:rsidP="00F83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0C9" w:rsidRDefault="00F830C9">
    <w:pPr>
      <w:pStyle w:val="Nagwek"/>
    </w:pPr>
    <w:r>
      <w:t>Sprawa 62/2026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30C9"/>
    <w:rsid w:val="00336837"/>
    <w:rsid w:val="00541F64"/>
    <w:rsid w:val="008D58A6"/>
    <w:rsid w:val="00AD4ACD"/>
    <w:rsid w:val="00F83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4A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F830C9"/>
  </w:style>
  <w:style w:type="character" w:customStyle="1" w:styleId="label">
    <w:name w:val="label"/>
    <w:basedOn w:val="Domylnaczcionkaakapitu"/>
    <w:rsid w:val="00F830C9"/>
  </w:style>
  <w:style w:type="character" w:customStyle="1" w:styleId="data">
    <w:name w:val="data"/>
    <w:basedOn w:val="Domylnaczcionkaakapitu"/>
    <w:rsid w:val="00F830C9"/>
  </w:style>
  <w:style w:type="character" w:styleId="Hipercze">
    <w:name w:val="Hyperlink"/>
    <w:basedOn w:val="Domylnaczcionkaakapitu"/>
    <w:uiPriority w:val="99"/>
    <w:semiHidden/>
    <w:unhideWhenUsed/>
    <w:rsid w:val="00F830C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830C9"/>
    <w:rPr>
      <w:color w:val="800080"/>
      <w:u w:val="single"/>
    </w:rPr>
  </w:style>
  <w:style w:type="character" w:customStyle="1" w:styleId="line">
    <w:name w:val="line"/>
    <w:basedOn w:val="Domylnaczcionkaakapitu"/>
    <w:rsid w:val="00F830C9"/>
  </w:style>
  <w:style w:type="paragraph" w:styleId="Nagwek">
    <w:name w:val="header"/>
    <w:basedOn w:val="Normalny"/>
    <w:link w:val="NagwekZnak"/>
    <w:uiPriority w:val="99"/>
    <w:semiHidden/>
    <w:unhideWhenUsed/>
    <w:rsid w:val="00F83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30C9"/>
  </w:style>
  <w:style w:type="paragraph" w:styleId="Stopka">
    <w:name w:val="footer"/>
    <w:basedOn w:val="Normalny"/>
    <w:link w:val="StopkaZnak"/>
    <w:uiPriority w:val="99"/>
    <w:unhideWhenUsed/>
    <w:rsid w:val="00F83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0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84" Type="http://schemas.openxmlformats.org/officeDocument/2006/relationships/hyperlink" Target="http://www.10wsk.mil.pl/" TargetMode="External"/><Relationship Id="rId89" Type="http://schemas.openxmlformats.org/officeDocument/2006/relationships/hyperlink" Target="https://www.gov.pl/web/uzp" TargetMode="External"/><Relationship Id="rId97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87" Type="http://schemas.openxmlformats.org/officeDocument/2006/relationships/hyperlink" Target="mailto:odwolania@uzp.gov.pl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://www.10wsk.mil.pl/" TargetMode="External"/><Relationship Id="rId90" Type="http://schemas.openxmlformats.org/officeDocument/2006/relationships/hyperlink" Target="mailto:sp@prokuratoria.gov.pl" TargetMode="External"/><Relationship Id="rId95" Type="http://schemas.openxmlformats.org/officeDocument/2006/relationships/hyperlink" Target="mailto:szulczynska5702@10wsk.mil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77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mailto:ted@publications.europa.eu" TargetMode="External"/><Relationship Id="rId98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mailto:szulczynska7502@10wsk.mil.pl" TargetMode="External"/><Relationship Id="rId88" Type="http://schemas.openxmlformats.org/officeDocument/2006/relationships/hyperlink" Target="https://www.gov.pl/web/uzp" TargetMode="External"/><Relationship Id="rId91" Type="http://schemas.openxmlformats.org/officeDocument/2006/relationships/hyperlink" Target="https://www.gov.pl/web/sp-prokuratoria" TargetMode="External"/><Relationship Id="rId9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www.uzp.gov.pl/kio" TargetMode="External"/><Relationship Id="rId94" Type="http://schemas.openxmlformats.org/officeDocument/2006/relationships/hyperlink" Target="https://op.europa.eu/" TargetMode="External"/><Relationship Id="rId9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15131</Words>
  <Characters>90786</Characters>
  <Application>Microsoft Office Word</Application>
  <DocSecurity>0</DocSecurity>
  <Lines>756</Lines>
  <Paragraphs>211</Paragraphs>
  <ScaleCrop>false</ScaleCrop>
  <Company/>
  <LinksUpToDate>false</LinksUpToDate>
  <CharactersWithSpaces>105706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2026-05-11T05:16:00Z</cp:lastPrinted>
  <dcterms:created xsi:type="dcterms:W3CDTF">2026-05-11T05:13:00Z</dcterms:created>
  <dcterms:modified xsi:type="dcterms:W3CDTF">2026-05-11T05:17:00Z</dcterms:modified>
</cp:coreProperties>
</file>