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C8171A" w:rsidRDefault="00C8171A" w:rsidP="00E50CD1">
      <w:pPr>
        <w:rPr>
          <w:rFonts w:ascii="Arial Narrow" w:hAnsi="Arial Narrow" w:cs="Arial"/>
          <w:b/>
          <w:sz w:val="20"/>
          <w:szCs w:val="20"/>
        </w:rPr>
      </w:pPr>
      <w:r w:rsidRPr="00C8171A">
        <w:rPr>
          <w:rFonts w:ascii="Arial Narrow" w:hAnsi="Arial Narrow" w:cs="Arial"/>
          <w:b/>
          <w:sz w:val="20"/>
          <w:szCs w:val="20"/>
        </w:rPr>
        <w:t>Sprawa nr 66/2026</w:t>
      </w:r>
      <w:r w:rsidRPr="00C8171A">
        <w:rPr>
          <w:rFonts w:ascii="Arial Narrow" w:hAnsi="Arial Narrow" w:cs="Arial"/>
          <w:b/>
          <w:sz w:val="20"/>
          <w:szCs w:val="20"/>
        </w:rPr>
        <w:tab/>
      </w:r>
      <w:r w:rsidRPr="00C8171A">
        <w:rPr>
          <w:rFonts w:ascii="Arial Narrow" w:hAnsi="Arial Narrow" w:cs="Arial"/>
          <w:b/>
          <w:sz w:val="20"/>
          <w:szCs w:val="20"/>
        </w:rPr>
        <w:tab/>
      </w:r>
      <w:r w:rsidRPr="00C8171A">
        <w:rPr>
          <w:rFonts w:ascii="Arial Narrow" w:hAnsi="Arial Narrow" w:cs="Arial"/>
          <w:b/>
          <w:sz w:val="20"/>
          <w:szCs w:val="20"/>
        </w:rPr>
        <w:tab/>
      </w:r>
      <w:r w:rsidRPr="00C8171A">
        <w:rPr>
          <w:rFonts w:ascii="Arial Narrow" w:hAnsi="Arial Narrow" w:cs="Arial"/>
          <w:b/>
          <w:sz w:val="20"/>
          <w:szCs w:val="20"/>
        </w:rPr>
        <w:tab/>
      </w:r>
      <w:r w:rsidRPr="00C8171A">
        <w:rPr>
          <w:rFonts w:ascii="Arial Narrow" w:hAnsi="Arial Narrow" w:cs="Arial"/>
          <w:b/>
          <w:sz w:val="20"/>
          <w:szCs w:val="20"/>
        </w:rPr>
        <w:tab/>
      </w:r>
      <w:r w:rsidRPr="00C8171A">
        <w:rPr>
          <w:rFonts w:ascii="Arial Narrow" w:hAnsi="Arial Narrow" w:cs="Arial"/>
          <w:b/>
          <w:sz w:val="20"/>
          <w:szCs w:val="20"/>
        </w:rPr>
        <w:tab/>
      </w:r>
      <w:r w:rsidRPr="00C8171A">
        <w:rPr>
          <w:rFonts w:ascii="Arial Narrow" w:hAnsi="Arial Narrow" w:cs="Arial"/>
          <w:b/>
          <w:sz w:val="20"/>
          <w:szCs w:val="20"/>
        </w:rPr>
        <w:tab/>
      </w:r>
      <w:r w:rsidRPr="00C8171A">
        <w:rPr>
          <w:rFonts w:ascii="Arial Narrow" w:hAnsi="Arial Narrow" w:cs="Arial"/>
          <w:b/>
          <w:sz w:val="20"/>
          <w:szCs w:val="20"/>
        </w:rPr>
        <w:tab/>
      </w:r>
      <w:r w:rsidRPr="00C8171A">
        <w:rPr>
          <w:rFonts w:ascii="Arial Narrow" w:hAnsi="Arial Narrow" w:cs="Arial"/>
          <w:b/>
          <w:sz w:val="20"/>
          <w:szCs w:val="20"/>
        </w:rPr>
        <w:tab/>
      </w:r>
      <w:r w:rsidRPr="00C8171A">
        <w:rPr>
          <w:rFonts w:ascii="Arial Narrow" w:hAnsi="Arial Narrow" w:cs="Arial"/>
          <w:b/>
          <w:sz w:val="20"/>
          <w:szCs w:val="20"/>
        </w:rPr>
        <w:tab/>
      </w:r>
      <w:r w:rsidRPr="00C8171A">
        <w:rPr>
          <w:rFonts w:ascii="Arial Narrow" w:hAnsi="Arial Narrow" w:cs="Arial"/>
          <w:b/>
          <w:sz w:val="20"/>
          <w:szCs w:val="20"/>
        </w:rPr>
        <w:tab/>
      </w:r>
      <w:r w:rsidRPr="00C8171A">
        <w:rPr>
          <w:rFonts w:ascii="Arial Narrow" w:hAnsi="Arial Narrow" w:cs="Arial"/>
          <w:b/>
          <w:sz w:val="20"/>
          <w:szCs w:val="20"/>
        </w:rPr>
        <w:tab/>
      </w:r>
      <w:r w:rsidRPr="00C8171A">
        <w:rPr>
          <w:rFonts w:ascii="Arial Narrow" w:hAnsi="Arial Narrow" w:cs="Arial"/>
          <w:b/>
          <w:sz w:val="20"/>
          <w:szCs w:val="20"/>
        </w:rPr>
        <w:tab/>
      </w:r>
      <w:r w:rsidRPr="00C8171A">
        <w:rPr>
          <w:rFonts w:ascii="Arial Narrow" w:hAnsi="Arial Narrow" w:cs="Arial"/>
          <w:b/>
          <w:sz w:val="20"/>
          <w:szCs w:val="20"/>
        </w:rPr>
        <w:tab/>
      </w:r>
      <w:r w:rsidRPr="00C8171A"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 xml:space="preserve">                      </w:t>
      </w:r>
      <w:r w:rsidRPr="00C8171A">
        <w:rPr>
          <w:rFonts w:ascii="Arial Narrow" w:hAnsi="Arial Narrow" w:cs="Arial"/>
          <w:b/>
          <w:sz w:val="20"/>
          <w:szCs w:val="20"/>
        </w:rPr>
        <w:t>Załącznik nr 5 do SWZ</w:t>
      </w:r>
    </w:p>
    <w:tbl>
      <w:tblPr>
        <w:tblpPr w:leftFromText="141" w:rightFromText="141" w:vertAnchor="text" w:horzAnchor="margin" w:tblpXSpec="center" w:tblpY="244"/>
        <w:tblW w:w="4792" w:type="pct"/>
        <w:jc w:val="center"/>
        <w:tblLook w:val="0000"/>
      </w:tblPr>
      <w:tblGrid>
        <w:gridCol w:w="463"/>
        <w:gridCol w:w="3227"/>
        <w:gridCol w:w="1372"/>
        <w:gridCol w:w="1694"/>
        <w:gridCol w:w="2454"/>
        <w:gridCol w:w="1517"/>
        <w:gridCol w:w="2080"/>
        <w:gridCol w:w="1921"/>
        <w:gridCol w:w="236"/>
      </w:tblGrid>
      <w:tr w:rsidR="00C14F51" w:rsidRPr="00C14F51" w:rsidTr="00E66021">
        <w:trPr>
          <w:jc w:val="center"/>
        </w:trPr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9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E66021">
        <w:trPr>
          <w:trHeight w:val="600"/>
          <w:jc w:val="center"/>
        </w:trPr>
        <w:tc>
          <w:tcPr>
            <w:tcW w:w="1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DC69ED" w:rsidRDefault="00941F77" w:rsidP="006C470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Diatermia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2F7107" w:rsidP="00F0116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1 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9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442"/>
        <w:gridCol w:w="9555"/>
        <w:gridCol w:w="2117"/>
        <w:gridCol w:w="2750"/>
      </w:tblGrid>
      <w:tr w:rsidR="00E50CD1" w:rsidRPr="00B2615A" w:rsidTr="00D04817">
        <w:trPr>
          <w:cantSplit/>
          <w:trHeight w:val="148"/>
          <w:jc w:val="center"/>
        </w:trPr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293585" w:rsidRPr="00B2615A" w:rsidTr="00293585">
        <w:trPr>
          <w:cantSplit/>
          <w:trHeight w:val="37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Urządzenie umożliwiające pracę monopolarną i bipolarną.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2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pStyle w:val="Zawartotabeli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Urządzenie z  możliwością pracy w osłonie  argonu oraz systemem zamykania naczyń do 7mm.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0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Zasilanie elektryczne urządzenia: 230V 50Hz.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37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auto"/>
                <w:sz w:val="20"/>
                <w:szCs w:val="20"/>
                <w:highlight w:val="yellow"/>
              </w:rPr>
            </w:pPr>
            <w:r w:rsidRPr="00293585">
              <w:rPr>
                <w:rFonts w:ascii="Arial Narrow" w:hAnsi="Arial Narrow"/>
                <w:sz w:val="20"/>
                <w:szCs w:val="20"/>
              </w:rPr>
              <w:t>Podstawowa częstotliwość pracy generatora 333kHz +/-5%.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38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eastAsia="Calibri" w:hAnsi="Arial Narrow" w:cs="Times New Roman"/>
                <w:sz w:val="20"/>
                <w:szCs w:val="20"/>
                <w:u w:val="double"/>
              </w:rPr>
            </w:pPr>
            <w:r w:rsidRPr="00293585">
              <w:rPr>
                <w:rFonts w:ascii="Arial Narrow" w:hAnsi="Arial Narrow"/>
                <w:sz w:val="20"/>
                <w:szCs w:val="20"/>
              </w:rPr>
              <w:t>Aparat z zabezpieczeniem przed impulsem defibrylacji.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0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293585">
              <w:rPr>
                <w:rFonts w:ascii="Arial Narrow" w:hAnsi="Arial Narrow"/>
                <w:sz w:val="20"/>
                <w:szCs w:val="20"/>
              </w:rPr>
              <w:t>Zabezpieczenie przeciwporażeniowe Klasa I CF.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36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293585">
              <w:rPr>
                <w:rFonts w:ascii="Arial Narrow" w:hAnsi="Arial Narrow"/>
                <w:sz w:val="20"/>
                <w:szCs w:val="20"/>
              </w:rPr>
              <w:t>Zabezpieczenie przed przeciążeniem aparatu z aktywnym pomiarem temperatury kluczowych elementów.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69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293585">
              <w:rPr>
                <w:rFonts w:ascii="Arial Narrow" w:hAnsi="Arial Narrow"/>
                <w:sz w:val="20"/>
                <w:szCs w:val="20"/>
              </w:rPr>
              <w:t>Aparat w pełni zintegrowany (jedno urządzenie), bez dodatkowych przystawek. Obsługa wszystkich dostępnych trybów pracy z jednego panelu sterowania.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0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Automatyczny test urządzenia po uruchomieniu.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1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Komunikacja z urządzeniem za pomocą ekranu dotykowego.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52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Czytelny ciekłokrystaliczny wyświetlacz parametrów pracy, nie mniejszy niż 9”.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60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Regulacja kąta nachylenia ekranu umożliwiająca optymalną widoczność panelu sterowania niezależnie od warunków (oświetlenia, wysokości ustawienia urządzenia itp.).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2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Możliwość regulacji jasności ekranu.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37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Możliwość wyboru wersji graficznej wyświetlacza (jasna do sali operacyjnej, ciemna do pracowni endoskopowej).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32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eastAsia="Times New Roman" w:hAnsi="Arial Narrow" w:cs="Times New Roman"/>
                <w:kern w:val="0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Komunikacja w języku polskim.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64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System kontroli aplikacji elektrody neutralnej dwudzielnej.  Stała kontrola aplikacji elektrody podczas trwania całego zabiegu.  Wyświetlacz poprawnego podłączenia elektrody neutralnej. Możliwość wyboru elektrody neutralnej dzielonej dla dorosłych.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55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Zła aplikacja elektrody neutralnej dwudzielnej  sygnalizowania alarmem, komunikatem na ekranie oraz komunikatem głosowym w języku polskim.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0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293585">
              <w:rPr>
                <w:rFonts w:ascii="Arial Narrow" w:hAnsi="Arial Narrow" w:cs="Tahoma"/>
                <w:sz w:val="20"/>
                <w:szCs w:val="20"/>
              </w:rPr>
              <w:t>System rozpoznawania podłączonych narzędzi. Automatyczne przywoływanie trybów pracy i nastaw dla podłączonego narzędzia.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62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293585">
              <w:rPr>
                <w:rFonts w:ascii="Arial Narrow" w:hAnsi="Arial Narrow" w:cs="Tahoma"/>
                <w:sz w:val="20"/>
                <w:szCs w:val="20"/>
              </w:rPr>
              <w:t>Urządzenie wyposażone w  4 wyjścia uniwersalne umożliwiające podłączenie akcesoriów mono lub bipolarnych z systemem rozpoznawania narzędzi.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34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293585">
              <w:rPr>
                <w:rFonts w:ascii="Arial Narrow" w:hAnsi="Arial Narrow"/>
                <w:sz w:val="20"/>
                <w:szCs w:val="20"/>
              </w:rPr>
              <w:t>Możliwość regulacji głośności sygnałów aktywacji – min. 8 poziomów (bez możliwości całkowitego wyciszenia).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52789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2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Możliwość zapamiętania min. 100 programów i zapisania ich pod dowolną nazwą.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369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293585">
              <w:rPr>
                <w:rFonts w:ascii="Arial Narrow" w:eastAsia="Calibri" w:hAnsi="Arial Narrow"/>
                <w:sz w:val="20"/>
                <w:szCs w:val="20"/>
              </w:rPr>
              <w:t>Sygnalizacja akustyczna i wizualna aktywowanego trybu pracy.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6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Aktywacja funkcji monopolarnych włącznikiem nożnym lub z uchwytu elektrody czynnej.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2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Funkcja ograniczenia czasu aktywacji trybów mono i bipolarnych z możliwością regulacji czasu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52789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53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Wizualna i akustyczna sygnalizacja nieprawidłowego działania urządzenia. Informacja o niesprawności w formie komunikatu z opisem, wyświetlanym na ekranie urządzenia. Historia błędów archiwizowana dla potrzeb serwisu.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Zdalna zmiana programów za pomocą trzeciego przycisku włącznika nożnego.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Możliwość zmiany parametrów pracy za pomocą trzeciego przycisku włącznika nożnego.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1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Urządzenie umożliwiające pracę z bezprzewodowym (radiowym) włącznikiem nożnym.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1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Cięcie monopolarne z mocą  400W.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3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Minimum 8 rodzajów cięcia monopolarnego w tym cięcia specjalistyczne.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Minimum 8 efektów w każdym z dostępnych trybów cięcia.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1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Koagulacja monopolarna kontaktowa z  mocą  200W.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09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Minimum 4 rodzaje koagulacji monopolarnej standardowej w tym koagulacja miękka, forsowna, bezkontaktowa (spray).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33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Minimum 8 efektów koagulacji  dostępnych dla każdego z wymaganych trybów koagulacji monopolarnej kontaktowej.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33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Koagulacja monopolarna argonowa z mocą 80W.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4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Minimum 3 rodzaje koagulacji argonowej.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54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Automatyczne rozpoznawanie podłączonych narzędzi argonowych wraz z automatycznym przywołaniem trybów pracy i nastaw właściwych dla podłączonego instrumentu.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50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Informacja na wyświetlaczu o wartości nastawionego przepływu argonu dla koagulacji i odrębnie dla cięcia.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55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Regulacja przepływu argonu w zakresie od 0,1 do 10l.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1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Funkcja napełnienia instrumentów argonem przed rozpoczęciem.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0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Koagulacja bipolarna z mocą 120W.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1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 xml:space="preserve">Minimum 3 rodzaje koagulacji bipolarnej, w tym tryby specjalistyczne.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33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Minimum 8 efektów dostępnych dla trybu koagulacji bipolarnej.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50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Opcja automatycznego startu i zakończenia koagulacji bipolarnej dostępna w min. jednym z trybów.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5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Minimum 3 rodzaje cięcia bipolarnego w tym tryby cięcia specjalistycznego umożliwiające pracę w środowisku płynu.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51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Minimum 8 efektów dostępnych w każdym z trybów cięcia bipolarnego.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Tryb bipolarnego zamykania dużych naczyń krwionośnych z mocą 300W.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1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Minimum 8 poziomów intensywności pracy w trybie zamykania naczyń krwionośnych.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9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Automatyczne zakończenie cyklu po zamknięciu naczynia.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2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Potwierdzenie poprawnego zamknięcia naczynia komunikatem na ekranie oraz sygnałem dźwiękowym.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51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Włącznik nożny przewodowy, 2-przyciskowy, z dodatkowym przełącznikiem umożliwiający zdalną zmianę programów – 1 szt.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59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293585">
              <w:rPr>
                <w:rFonts w:ascii="Arial Narrow" w:hAnsi="Arial Narrow"/>
                <w:sz w:val="20"/>
                <w:szCs w:val="20"/>
              </w:rPr>
              <w:t>Elektroda neutralna silikonowa, wielorazowa, dla dorosłych, 30x17cm,kabel ,dł. 4m, -2szt.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52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Kabel elektrod neutralnej, jednorazowa, dł. 3m – 1 szt.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759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Uchwyt elektrody monopolarnej 4mm, z przyciskami do aktywacji cięcia i koagulacji, z nierozłącznym kablem o dł. min. 4m, przystosowany do systemu rozpoznawania narzędzi. Przeznaczony do min. 300 cykli sterylizacji  -1szt.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55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Szczypce do koagulacji bipolarnej, wielorazowe, proste, długość ok. 110mm, końcówka 0,5mm - 2szt.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56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Kabel do instrumentów bipolarnych, kątowy, wielorazowy, długość 3m, kompatybilny z systemem rozpoznawania narzędzi - 1szt.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9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Klemy do zamykania dużych naczyń krwionośnych, końcówka prosta, gładkie,  długość ok. 18cm, przeznaczone do wielokrotnej sterylizacji -1szt.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6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Kabel do klem bipolarnych, wielorazowy, długość 3m, kompatybilny z systemem rozpoznawania narzędzi -1.szt.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8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Nożyczki bipolarne zagięte, przeznaczone do wielokrotnej sterylizacji dł. 21cm - 1szt.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56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Kabel bipolarny do nożyczek wielorazowy, kompatybilny z systemem rozpoznawania narzędzi dł. 3M – 1 szt.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51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snapToGrid w:val="0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bCs/>
                <w:sz w:val="20"/>
                <w:szCs w:val="20"/>
              </w:rPr>
              <w:t>Adapter monopolarny narzędzi z wtykiem 3-pin do gniazda z systemem rozpoznawania narzędzi – 6 pinowego - 1szt.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5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Szczypce do koagulacji bipolarnej, wielorazowe, proste</w:t>
            </w:r>
            <w:r w:rsidR="006E3376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293585">
              <w:rPr>
                <w:rFonts w:ascii="Arial Narrow" w:hAnsi="Arial Narrow" w:cs="Arial"/>
                <w:sz w:val="20"/>
                <w:szCs w:val="20"/>
              </w:rPr>
              <w:t xml:space="preserve"> długość ok. 220mm, końcówka tępa 2mm  - 2szt.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52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Szczypce do koagulacji bipolarnej, proste, wielorazowe, długość ok. 160mm, końcówka 1mm  - 2szt.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4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 xml:space="preserve">Adapter bipolarny narzędzi z wtykiem 2-pin </w:t>
            </w:r>
            <w:r w:rsidRPr="00293585">
              <w:rPr>
                <w:rFonts w:ascii="Arial Narrow" w:hAnsi="Arial Narrow" w:cs="Arial"/>
                <w:bCs/>
                <w:sz w:val="20"/>
                <w:szCs w:val="20"/>
              </w:rPr>
              <w:t>do gniazda z systemem rozpoznawania narzędzi – 6 pinowego</w:t>
            </w:r>
            <w:r w:rsidR="001F56B9">
              <w:rPr>
                <w:rFonts w:ascii="Arial Narrow" w:hAnsi="Arial Narrow" w:cs="Arial"/>
                <w:bCs/>
                <w:sz w:val="20"/>
                <w:szCs w:val="20"/>
              </w:rPr>
              <w:t xml:space="preserve"> – 1szt.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93585">
        <w:trPr>
          <w:cantSplit/>
          <w:trHeight w:val="6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293585" w:rsidRDefault="00293585" w:rsidP="0029358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93585">
              <w:rPr>
                <w:rFonts w:ascii="Arial Narrow" w:hAnsi="Arial Narrow" w:cs="Arial"/>
                <w:sz w:val="20"/>
                <w:szCs w:val="20"/>
              </w:rPr>
              <w:t>Wózek wyposażony w cztery kółka, z rączką , z zamykaną szafką na butle argonowe 10-litrowe. Wyposażony w półkę na włącznik nożny oraz koszyk na akcesoria.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Default="0029358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CE0A78" w:rsidRDefault="00293585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bookmarkStart w:id="0" w:name="_Hlk481595046"/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293585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CE0A78" w:rsidRDefault="00293585" w:rsidP="00941F77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Urządzenia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fabrycznie nowe, rok produkcji 2026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CE0A78" w:rsidRDefault="0029358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Instrukcjaobsługiprzedmiotuofertywjęzykupolskim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CE0A78" w:rsidRDefault="0029358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CE0A78" w:rsidRDefault="0029358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204B2D">
        <w:trPr>
          <w:cantSplit/>
          <w:trHeight w:val="1123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CE0A78" w:rsidRDefault="00293585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293585" w:rsidRDefault="00293585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:rsidR="00293585" w:rsidRPr="00CE0A78" w:rsidRDefault="00293585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3A1B">
              <w:rPr>
                <w:rFonts w:ascii="Arial Narrow" w:hAnsi="Arial Narrow" w:cs="Arial"/>
                <w:sz w:val="20"/>
                <w:szCs w:val="20"/>
              </w:rPr>
              <w:t>- dokonania instalacji we wskazanym miejscu przez Zamawiającego,</w:t>
            </w:r>
          </w:p>
          <w:p w:rsidR="00293585" w:rsidRPr="00CE0A78" w:rsidRDefault="00293585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CE0A78" w:rsidRDefault="0029358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Warunki gwarancji i serwisu</w:t>
            </w:r>
          </w:p>
        </w:tc>
      </w:tr>
      <w:tr w:rsidR="00293585" w:rsidRPr="00B2615A" w:rsidTr="00D04817">
        <w:trPr>
          <w:cantSplit/>
          <w:trHeight w:hRule="exact" w:val="49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CE0A78" w:rsidRDefault="0029358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93585" w:rsidRPr="00B2615A" w:rsidRDefault="00293585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D04817">
        <w:trPr>
          <w:cantSplit/>
          <w:trHeight w:hRule="exact" w:val="49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CE0A78" w:rsidRDefault="0029358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D04817">
        <w:trPr>
          <w:cantSplit/>
          <w:trHeight w:hRule="exact" w:val="42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CE0A78" w:rsidRDefault="0029358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D04817">
        <w:trPr>
          <w:cantSplit/>
          <w:trHeight w:hRule="exact" w:val="5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CE0A78" w:rsidRDefault="0029358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D04817">
        <w:trPr>
          <w:cantSplit/>
          <w:trHeight w:hRule="exact" w:val="43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CE0A78" w:rsidRDefault="0029358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D04817">
        <w:trPr>
          <w:cantSplit/>
          <w:trHeight w:hRule="exact" w:val="961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CE0A78" w:rsidRDefault="0029358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D04817">
        <w:trPr>
          <w:cantSplit/>
          <w:trHeight w:hRule="exact" w:val="54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D04817">
        <w:trPr>
          <w:cantSplit/>
          <w:trHeight w:hRule="exact" w:val="75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93585" w:rsidRPr="00B2615A" w:rsidTr="00D04817">
        <w:trPr>
          <w:cantSplit/>
          <w:trHeight w:hRule="exact" w:val="52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3585" w:rsidRPr="00B2615A" w:rsidRDefault="0029358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2CD5" w:rsidRDefault="00812CD5" w:rsidP="004845EA">
      <w:r>
        <w:separator/>
      </w:r>
    </w:p>
  </w:endnote>
  <w:endnote w:type="continuationSeparator" w:id="1">
    <w:p w:rsidR="00812CD5" w:rsidRDefault="00812CD5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CE1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CE1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8171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C8171A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E</w:t>
    </w:r>
    <w:r w:rsidR="00BC2D44">
      <w:rPr>
        <w:rFonts w:ascii="Arial Narrow" w:hAnsi="Arial Narrow"/>
        <w:sz w:val="22"/>
      </w:rPr>
      <w:t>lektroniczny</w:t>
    </w:r>
    <w:r>
      <w:rPr>
        <w:rFonts w:ascii="Arial Narrow" w:hAnsi="Arial Narrow"/>
        <w:sz w:val="22"/>
      </w:rPr>
      <w:t xml:space="preserve"> podpis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2CD5" w:rsidRDefault="00812CD5" w:rsidP="004845EA">
      <w:r>
        <w:separator/>
      </w:r>
    </w:p>
  </w:footnote>
  <w:footnote w:type="continuationSeparator" w:id="1">
    <w:p w:rsidR="00812CD5" w:rsidRDefault="00812CD5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C14F51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</w:p>
  <w:p w:rsidR="001B6A27" w:rsidRPr="001F32C3" w:rsidRDefault="003C7ED6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9201801"/>
    <w:multiLevelType w:val="hybridMultilevel"/>
    <w:tmpl w:val="0EBCB712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F2502E"/>
    <w:multiLevelType w:val="hybridMultilevel"/>
    <w:tmpl w:val="78501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D401B3"/>
    <w:multiLevelType w:val="hybridMultilevel"/>
    <w:tmpl w:val="C6924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BE7DCF"/>
    <w:multiLevelType w:val="hybridMultilevel"/>
    <w:tmpl w:val="635C5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292F19"/>
    <w:multiLevelType w:val="hybridMultilevel"/>
    <w:tmpl w:val="101E9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C918EF"/>
    <w:multiLevelType w:val="hybridMultilevel"/>
    <w:tmpl w:val="3940D7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B9292F"/>
    <w:multiLevelType w:val="hybridMultilevel"/>
    <w:tmpl w:val="76D67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E67238"/>
    <w:multiLevelType w:val="hybridMultilevel"/>
    <w:tmpl w:val="2230D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7">
    <w:nsid w:val="6EAB6E39"/>
    <w:multiLevelType w:val="hybridMultilevel"/>
    <w:tmpl w:val="AF668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2C3DAA"/>
    <w:multiLevelType w:val="hybridMultilevel"/>
    <w:tmpl w:val="DA9C3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13"/>
  </w:num>
  <w:num w:numId="7">
    <w:abstractNumId w:val="5"/>
  </w:num>
  <w:num w:numId="8">
    <w:abstractNumId w:val="7"/>
  </w:num>
  <w:num w:numId="9">
    <w:abstractNumId w:val="18"/>
  </w:num>
  <w:num w:numId="10">
    <w:abstractNumId w:val="19"/>
  </w:num>
  <w:num w:numId="11">
    <w:abstractNumId w:val="11"/>
  </w:num>
  <w:num w:numId="12">
    <w:abstractNumId w:val="8"/>
  </w:num>
  <w:num w:numId="13">
    <w:abstractNumId w:val="10"/>
  </w:num>
  <w:num w:numId="14">
    <w:abstractNumId w:val="17"/>
  </w:num>
  <w:num w:numId="15">
    <w:abstractNumId w:val="9"/>
  </w:num>
  <w:num w:numId="16">
    <w:abstractNumId w:val="15"/>
  </w:num>
  <w:num w:numId="17">
    <w:abstractNumId w:val="20"/>
  </w:num>
  <w:num w:numId="18">
    <w:abstractNumId w:val="12"/>
  </w:num>
  <w:num w:numId="19">
    <w:abstractNumId w:val="4"/>
  </w:num>
  <w:num w:numId="20">
    <w:abstractNumId w:val="14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25C77"/>
    <w:rsid w:val="000322B8"/>
    <w:rsid w:val="00047390"/>
    <w:rsid w:val="0005668E"/>
    <w:rsid w:val="0005755D"/>
    <w:rsid w:val="00073CEE"/>
    <w:rsid w:val="00077D92"/>
    <w:rsid w:val="000C7F7D"/>
    <w:rsid w:val="000F09AA"/>
    <w:rsid w:val="00113058"/>
    <w:rsid w:val="00114B09"/>
    <w:rsid w:val="00116786"/>
    <w:rsid w:val="00121A08"/>
    <w:rsid w:val="00121F55"/>
    <w:rsid w:val="00143064"/>
    <w:rsid w:val="00146128"/>
    <w:rsid w:val="00157765"/>
    <w:rsid w:val="001A12A1"/>
    <w:rsid w:val="001A3016"/>
    <w:rsid w:val="001B6A27"/>
    <w:rsid w:val="001C507C"/>
    <w:rsid w:val="001D3DA9"/>
    <w:rsid w:val="001D5CE1"/>
    <w:rsid w:val="001E3FF9"/>
    <w:rsid w:val="001F56B9"/>
    <w:rsid w:val="00200756"/>
    <w:rsid w:val="00204B2D"/>
    <w:rsid w:val="002058CE"/>
    <w:rsid w:val="00222F93"/>
    <w:rsid w:val="00237EBA"/>
    <w:rsid w:val="0025042F"/>
    <w:rsid w:val="002539DD"/>
    <w:rsid w:val="00260099"/>
    <w:rsid w:val="0028054C"/>
    <w:rsid w:val="0028328C"/>
    <w:rsid w:val="00293585"/>
    <w:rsid w:val="00294705"/>
    <w:rsid w:val="0029780E"/>
    <w:rsid w:val="002A658E"/>
    <w:rsid w:val="002B7E5C"/>
    <w:rsid w:val="002D6B1A"/>
    <w:rsid w:val="002F1034"/>
    <w:rsid w:val="002F1129"/>
    <w:rsid w:val="002F7107"/>
    <w:rsid w:val="002F7F00"/>
    <w:rsid w:val="003005F9"/>
    <w:rsid w:val="00315E05"/>
    <w:rsid w:val="00321F18"/>
    <w:rsid w:val="0033360C"/>
    <w:rsid w:val="00333E8F"/>
    <w:rsid w:val="00340DDE"/>
    <w:rsid w:val="003527B5"/>
    <w:rsid w:val="003561CF"/>
    <w:rsid w:val="00371915"/>
    <w:rsid w:val="0038515D"/>
    <w:rsid w:val="00391BAB"/>
    <w:rsid w:val="00393C10"/>
    <w:rsid w:val="003A2D88"/>
    <w:rsid w:val="003B2C01"/>
    <w:rsid w:val="003B4C8B"/>
    <w:rsid w:val="003B59C7"/>
    <w:rsid w:val="003C7ED6"/>
    <w:rsid w:val="003D0B79"/>
    <w:rsid w:val="003D2C4E"/>
    <w:rsid w:val="003D506E"/>
    <w:rsid w:val="00403A1B"/>
    <w:rsid w:val="00411422"/>
    <w:rsid w:val="004140EF"/>
    <w:rsid w:val="00433E3D"/>
    <w:rsid w:val="004346E6"/>
    <w:rsid w:val="004369F7"/>
    <w:rsid w:val="00450E33"/>
    <w:rsid w:val="004845EA"/>
    <w:rsid w:val="004B0CC1"/>
    <w:rsid w:val="004B4B63"/>
    <w:rsid w:val="004B5737"/>
    <w:rsid w:val="004C00BC"/>
    <w:rsid w:val="004E6266"/>
    <w:rsid w:val="004F1D59"/>
    <w:rsid w:val="004F60B4"/>
    <w:rsid w:val="004F7BB1"/>
    <w:rsid w:val="005056AC"/>
    <w:rsid w:val="00506A82"/>
    <w:rsid w:val="0051288E"/>
    <w:rsid w:val="005255C5"/>
    <w:rsid w:val="00525D8D"/>
    <w:rsid w:val="0052789D"/>
    <w:rsid w:val="00530E8B"/>
    <w:rsid w:val="00545413"/>
    <w:rsid w:val="00552152"/>
    <w:rsid w:val="0055517C"/>
    <w:rsid w:val="0057334F"/>
    <w:rsid w:val="0058291D"/>
    <w:rsid w:val="0059752D"/>
    <w:rsid w:val="005A0ED6"/>
    <w:rsid w:val="005A5A60"/>
    <w:rsid w:val="005B28BD"/>
    <w:rsid w:val="005B29D0"/>
    <w:rsid w:val="005B5BB8"/>
    <w:rsid w:val="005C5C64"/>
    <w:rsid w:val="005D3FED"/>
    <w:rsid w:val="005D7755"/>
    <w:rsid w:val="005F349D"/>
    <w:rsid w:val="005F6E5F"/>
    <w:rsid w:val="006030CC"/>
    <w:rsid w:val="006077B6"/>
    <w:rsid w:val="00615496"/>
    <w:rsid w:val="00632DB1"/>
    <w:rsid w:val="0063325A"/>
    <w:rsid w:val="00641C2C"/>
    <w:rsid w:val="00646E3A"/>
    <w:rsid w:val="006513D7"/>
    <w:rsid w:val="00664308"/>
    <w:rsid w:val="0067442B"/>
    <w:rsid w:val="006848E7"/>
    <w:rsid w:val="0069176A"/>
    <w:rsid w:val="006922CA"/>
    <w:rsid w:val="006A19EA"/>
    <w:rsid w:val="006C4707"/>
    <w:rsid w:val="006E034F"/>
    <w:rsid w:val="006E12D2"/>
    <w:rsid w:val="006E3376"/>
    <w:rsid w:val="006F0DA9"/>
    <w:rsid w:val="00723F82"/>
    <w:rsid w:val="00730B19"/>
    <w:rsid w:val="00731F17"/>
    <w:rsid w:val="00762EAA"/>
    <w:rsid w:val="00791DD0"/>
    <w:rsid w:val="007A253C"/>
    <w:rsid w:val="007A6BB7"/>
    <w:rsid w:val="007B78B4"/>
    <w:rsid w:val="007E1FB8"/>
    <w:rsid w:val="007F5797"/>
    <w:rsid w:val="007F700C"/>
    <w:rsid w:val="008117CD"/>
    <w:rsid w:val="00812CD5"/>
    <w:rsid w:val="00817993"/>
    <w:rsid w:val="008205F2"/>
    <w:rsid w:val="00836C82"/>
    <w:rsid w:val="008521A6"/>
    <w:rsid w:val="00854B8D"/>
    <w:rsid w:val="008642E3"/>
    <w:rsid w:val="00864487"/>
    <w:rsid w:val="008808F8"/>
    <w:rsid w:val="00880CE2"/>
    <w:rsid w:val="008845A7"/>
    <w:rsid w:val="00893E37"/>
    <w:rsid w:val="008B47BA"/>
    <w:rsid w:val="008C1554"/>
    <w:rsid w:val="008D5D80"/>
    <w:rsid w:val="008E2847"/>
    <w:rsid w:val="008E2A03"/>
    <w:rsid w:val="008F264D"/>
    <w:rsid w:val="008F2B12"/>
    <w:rsid w:val="00905690"/>
    <w:rsid w:val="009077B6"/>
    <w:rsid w:val="009130B6"/>
    <w:rsid w:val="00920358"/>
    <w:rsid w:val="009348A9"/>
    <w:rsid w:val="009375BB"/>
    <w:rsid w:val="00941F77"/>
    <w:rsid w:val="009573C1"/>
    <w:rsid w:val="009620F5"/>
    <w:rsid w:val="00965CB6"/>
    <w:rsid w:val="00976AB0"/>
    <w:rsid w:val="00996C96"/>
    <w:rsid w:val="009B3952"/>
    <w:rsid w:val="009B4A03"/>
    <w:rsid w:val="009B6FB8"/>
    <w:rsid w:val="009C28EE"/>
    <w:rsid w:val="009C488F"/>
    <w:rsid w:val="009C57FF"/>
    <w:rsid w:val="009D0605"/>
    <w:rsid w:val="009D3056"/>
    <w:rsid w:val="009D3148"/>
    <w:rsid w:val="009F580C"/>
    <w:rsid w:val="00A27053"/>
    <w:rsid w:val="00A420F7"/>
    <w:rsid w:val="00A67A93"/>
    <w:rsid w:val="00AA1593"/>
    <w:rsid w:val="00AA75DA"/>
    <w:rsid w:val="00AB0DB0"/>
    <w:rsid w:val="00AB3DFA"/>
    <w:rsid w:val="00AC0561"/>
    <w:rsid w:val="00AC2A81"/>
    <w:rsid w:val="00AD0C91"/>
    <w:rsid w:val="00AD7578"/>
    <w:rsid w:val="00AD777D"/>
    <w:rsid w:val="00AD7FA7"/>
    <w:rsid w:val="00AE38BA"/>
    <w:rsid w:val="00AF2877"/>
    <w:rsid w:val="00B15658"/>
    <w:rsid w:val="00B2615A"/>
    <w:rsid w:val="00B37498"/>
    <w:rsid w:val="00B71D3A"/>
    <w:rsid w:val="00BA680F"/>
    <w:rsid w:val="00BC2D44"/>
    <w:rsid w:val="00C14F51"/>
    <w:rsid w:val="00C33C4F"/>
    <w:rsid w:val="00C375C6"/>
    <w:rsid w:val="00C4344C"/>
    <w:rsid w:val="00C55CC2"/>
    <w:rsid w:val="00C672D0"/>
    <w:rsid w:val="00C7558F"/>
    <w:rsid w:val="00C8171A"/>
    <w:rsid w:val="00C923AC"/>
    <w:rsid w:val="00C93649"/>
    <w:rsid w:val="00C96D5F"/>
    <w:rsid w:val="00CA242C"/>
    <w:rsid w:val="00CA4DA8"/>
    <w:rsid w:val="00CB1025"/>
    <w:rsid w:val="00CB2AE0"/>
    <w:rsid w:val="00CB683F"/>
    <w:rsid w:val="00CC2331"/>
    <w:rsid w:val="00CD5830"/>
    <w:rsid w:val="00CE0A07"/>
    <w:rsid w:val="00CE0A78"/>
    <w:rsid w:val="00CE1BFD"/>
    <w:rsid w:val="00CF2621"/>
    <w:rsid w:val="00CF6535"/>
    <w:rsid w:val="00D04817"/>
    <w:rsid w:val="00D13B8F"/>
    <w:rsid w:val="00D23C37"/>
    <w:rsid w:val="00D34851"/>
    <w:rsid w:val="00D415D8"/>
    <w:rsid w:val="00D4776A"/>
    <w:rsid w:val="00D63965"/>
    <w:rsid w:val="00D840B9"/>
    <w:rsid w:val="00DA0D28"/>
    <w:rsid w:val="00DA42CE"/>
    <w:rsid w:val="00DB21C6"/>
    <w:rsid w:val="00DB3882"/>
    <w:rsid w:val="00DB39C5"/>
    <w:rsid w:val="00DC5F27"/>
    <w:rsid w:val="00DC69ED"/>
    <w:rsid w:val="00DD22A5"/>
    <w:rsid w:val="00DD351C"/>
    <w:rsid w:val="00DF2AF1"/>
    <w:rsid w:val="00DF486F"/>
    <w:rsid w:val="00DF488C"/>
    <w:rsid w:val="00DF6DBA"/>
    <w:rsid w:val="00DF71DF"/>
    <w:rsid w:val="00E05144"/>
    <w:rsid w:val="00E123E4"/>
    <w:rsid w:val="00E50CD1"/>
    <w:rsid w:val="00E52DF7"/>
    <w:rsid w:val="00E53A8E"/>
    <w:rsid w:val="00E56F64"/>
    <w:rsid w:val="00E66021"/>
    <w:rsid w:val="00E66915"/>
    <w:rsid w:val="00E762D8"/>
    <w:rsid w:val="00E92C2F"/>
    <w:rsid w:val="00E94A1F"/>
    <w:rsid w:val="00E96A35"/>
    <w:rsid w:val="00EB51A3"/>
    <w:rsid w:val="00EC366B"/>
    <w:rsid w:val="00EC36D0"/>
    <w:rsid w:val="00EE0425"/>
    <w:rsid w:val="00F01162"/>
    <w:rsid w:val="00F03450"/>
    <w:rsid w:val="00F040BC"/>
    <w:rsid w:val="00F2610F"/>
    <w:rsid w:val="00F50B2F"/>
    <w:rsid w:val="00F55634"/>
    <w:rsid w:val="00F77582"/>
    <w:rsid w:val="00F85592"/>
    <w:rsid w:val="00F87776"/>
    <w:rsid w:val="00F878E3"/>
    <w:rsid w:val="00F9150E"/>
    <w:rsid w:val="00F95C19"/>
    <w:rsid w:val="00F97014"/>
    <w:rsid w:val="00F97E0B"/>
    <w:rsid w:val="00FC6728"/>
    <w:rsid w:val="00FF018C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customStyle="1" w:styleId="Zawartotabeli">
    <w:name w:val="Zawartość tabeli"/>
    <w:basedOn w:val="Normalny"/>
    <w:qFormat/>
    <w:rsid w:val="0067442B"/>
    <w:pPr>
      <w:widowControl/>
      <w:suppressLineNumbers/>
      <w:suppressAutoHyphens w:val="0"/>
      <w:autoSpaceDN/>
      <w:textAlignment w:val="auto"/>
    </w:pPr>
    <w:rPr>
      <w:rFonts w:ascii="Liberation Serif" w:hAnsi="Liberation Serif"/>
      <w:color w:val="00000A"/>
      <w:kern w:val="0"/>
      <w:lang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customStyle="1" w:styleId="Zawartotabeli">
    <w:name w:val="Zawartość tabeli"/>
    <w:basedOn w:val="Normalny"/>
    <w:qFormat/>
    <w:rsid w:val="0067442B"/>
    <w:pPr>
      <w:widowControl/>
      <w:suppressLineNumbers/>
      <w:suppressAutoHyphens w:val="0"/>
      <w:autoSpaceDN/>
      <w:textAlignment w:val="auto"/>
    </w:pPr>
    <w:rPr>
      <w:rFonts w:ascii="Liberation Serif" w:hAnsi="Liberation Serif"/>
      <w:color w:val="00000A"/>
      <w:kern w:val="0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0217D-CA93-4E79-A528-D4D4E92E7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518</TotalTime>
  <Pages>1</Pages>
  <Words>1218</Words>
  <Characters>7312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229</cp:revision>
  <cp:lastPrinted>2024-02-28T06:20:00Z</cp:lastPrinted>
  <dcterms:created xsi:type="dcterms:W3CDTF">2024-06-20T09:58:00Z</dcterms:created>
  <dcterms:modified xsi:type="dcterms:W3CDTF">2026-05-20T13:29:00Z</dcterms:modified>
</cp:coreProperties>
</file>