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353473-2026 - Procedura konkurencyjna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Polska – Środki przeciwnowotworowe i immunomodulacyjne – Dostawy sukcesywne produktów leczniczych stosowanych w ramach Szpitalnych Programów Lekowych oraz Chemioterapii na okres 24 miesięcy dla 10 Wojskowego Szpitala Klinicznego z Polikliniką SPZOZ w Bydgoszczy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OJ S 98/2026 22/05/2026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Ogłoszenie o zamówieniu lub ogłoszenie o koncesji – tryb standardowy - Ogłoszenie o zmianie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1. Nabywca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Nabywca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10 Wojskowy Szpital Kliniczny z Polikliniką Samodzielny Publiczny Zakład Opieki Zdrowotnej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6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szulczynska7502@10wsk.mil.pl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Status prawny nabywcy: Podmiot prawa publicznego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Sektor działalności instytucji zamawiającej: Zdrowie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 Procedura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Procedura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Dostawy sukcesywne produktów leczniczych stosowanych w ramach Szpitalnych Programów Lekowych oraz Chemioterapii na okres 24 miesięcy dla 10 Wojskowego Szpitala Klinicznego z Polikliniką SPZOZ w Bydgoszczy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Dostawy sukcesywne produktów leczniczych stosowanych w ramach Szpitalnych Programów Lekowych oraz Chemioterapii na okres 24 miesięcy dla 10 Wojskowego Szpitala Klinicznego z Polikliniką SPZOZ w Bydgoszczy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Identyfikator procedury: 06a60556-c6be-4aba-844e-a55e765256a8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62/2026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 procedury: Otwarta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Procedura jest przyspieszona: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Uzasadnienie procedury przyspieszonej: Zamawiający, działając na podstawie art. 138 ust. 2 pkt 2 ustawy z dnia 11 września 2019 r. – Prawo zamówień publicznych, skraca termin składania ofert do 15 dni, ponieważ w niniejszym postępowaniu zachodzi pilna potrzeba udzielenia zamówienia, a skrócenie terminu jest obiektywnie uzasadnione okolicznościami faktycznymi oraz interesem publicznym. Przedmiot zamówienia obejmuje dostawy wysokospecjalistycznych produktów leczniczych stosowanych w ramach Szpitalnych Programów Lekowych (SZPL) oraz Szpitalnych Programów Chemioterapii (SZPCH). Produkty te są bezpośrednio związane z realizacją terapii pacjentów, w szczególności w obszarach onkologii, hematologii, neurologii, immunologii oraz innych dziedzin medycyny specjalistycznej, i mają kluczowe znaczenie dla zachowania ciągłości leczenia. W przypadku terapii realizowanych w ramach SZPL i SZPCH: • leczenie odbywa się według ściśle określonych schematów terapeutycznych i harmonogramów podań, • brak dostępności produktu leczniczego w wyznaczonym terminie skutkuje koniecznością przerwania lub przesunięcia terapii, • opóźnienia mogą prowadzić do pogorszenia stanu zdrowia pacjenta, utraty efektu terapeutycznego oraz konieczności stosowania alternatywnych, często mniej efektywnych lub bardziej kosztownych metod leczenia. Dodatkowo wskazać należy, iż od 1 kwietnia 2026 r. weszły w życie zmiany w wykazie leków refundowanych, obejmujące wprowadzenie nowych produktów leczniczych oraz rozszerzenie wskazań terapeutycznych w ramach programów lekowych. Zmiany te skutkują koniecznością niezwłocznego dostosowania asortymentu zamawianych produktów do aktualnych decyzji refundacyjnych, a tym samym pilnego przeprowadzenia postępowania w celu zabezpieczenia dostępności nowych terapii dla pacjentów kwalifikujących się do leczenia zgodnie z obowiązującymi przepisami. Brak szybkiego wdrożenia nowych leków objętych refundacją mógłby prowadzić do: • ograniczenia dostępu pacjentów do aktualnych, refundowanych terapii, • konieczności stosowania terapii mniej optymalnych klinicznie, • ryzyka niewykorzystania możliwości terapeutycznych przewidzianych w obowiązujących programach lekowych, • powstania niezgodności pomiędzy realizowanymi świadczeniami a aktualnym stanem prawnym. Potrzeba pilnego udzielenia zamówienia wynika również z konieczności zapewnienia nieprzerwanej dostępności leków przed upływem terminów obowiązywania aktualnych umów oraz przed wyczerpaniem zabezpieczeń kontraktowych. Zastosowanie podstawowego terminu składania ofert mogłoby doprowadzić do istotnych negatywnych skutków, w szczególności: • zagrożenia ciągłości terapii pacjentów objętych programami lekowymi i chemioterapią, • konieczności podejmowania działań interwencyjnych i zakupów doraźnych poza procedurą, • realizacji zakupów na mniej korzystnych warunkach ekonomicznych, • wzrostu kosztów po stronie Zamawiającego, • ryzyka niewykonania lub nienależytego wykonania świadczeń finansowanych ze środków publicznych. Podkreślenia wymaga, iż „pilna potrzeba” w rozumieniu przepisów p.z.p. nie jest tożsama z wystąpieniem zdarzeń nadzwyczajnych lub siły wyższej, lecz obejmuje również sytuacje wymagające przyspieszenia procedury w celu zapobieżenia negatywnym skutkom organizacyjnym, finansowym i klinicznym. W niniejszej sprawie potrzeba ta ma charakter realny i aktualny, a jej źródłem jest konieczność zapewnienia ciągłości leczenia pacjentów oraz dostosowania działalności Zamawiającego do aktualnych regulacji refundacyjnych. Dodatkowo należy wskazać, iż rynek produktów leczniczych objętych programami lekowymi i chemioterapią ma charakter specyficzny. W odniesieniu do wielu pozycji objętych zamówieniem: • występuje ograniczona liczba wykonawców, często jeden wykonawca (producent lub podmiot posiadający wyłączną dystrybucję), • brak jest realnej konkurencji w zakresie zamienności produktów w ramach danego programu terapeutycznego, • produkty są ściśle zdefiniowane i funkcjonują w ramach uregulowanego systemu refundacyjnego.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 xml:space="preserve">Informacje dodatkowe: Informacje dodatkowe: O udzielenie zamówienia mogą ubiegać się wykonawcy, którzy nie podlegają wykluczeniu na podstawie art. 108 ust. 1 pkt 1–6, art. 109 ust. 1 pkt 1, art. 109 ust. 1 pkt 4 ustawy Pzp, art. 7 ust. 1 ustawy z dnia 13 kwietnia 2022 r. o </w:t>
      </w: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w trakcie realizacji umowy przewiduje możliwość zastosowania prawa opcji, o którym mowa w art. 441 ustawy Pzp, polegającego na zwiększeniu ilości asortymentu o maksymalnie 50% pierwotnie zapotrzebowanych ilości lub poprzez wydłużenie terminu realizacji umowy o maksymalnie 12 miesięcy.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2.1.4.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Podstawa prawna: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Dyrektywa 2014/24/UE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Maksymalna liczba części zamówienia, na które jeden oferent może składać oferty: 25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Maksymalna liczba części zamówienia, których można udzielić jednemu oferentowi: 25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wykluczenia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Powody wykluczenia źródła: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Aktywami zarządza likwidator: Dotyczy art. 109 ust. 1 pkt. 4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Działalność gospodarcza jest zawieszona: Dotyczy art. 109 ust. 1 pkt. 4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Niewypłacalność: Dotyczy art. 109 ust. 1 pkt. 4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obowiązku płatności podatków: Dotyczy art. 108 ust. 1 pkt. 3 ustawy PZP oraz art. 109 ust. 1 pkt. 1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obowiązku opłacenia składek na ubezpieczenie społeczne: Dotyczy art. 108 ust. 1 pkt. 3 ustawy PZP oraz art. 109 ust. 1 pkt. 1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Układ z wierzycielami: Dotyczy art. 109 ust. 1 pkt. 4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Upadłość: Dotyczy art. 109 ust. 1 pkt. 4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Porozumienia z innymi wykonawcami mające na celu zakłócenie konkurencji: Dotyczy art. 108 ust. 1 pkt. 5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Inna sytuacja podobna do upadłości wynikająca z prawa krajowego: Dotyczy art. 108 ust. 1 pkt. 5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wykluczenia o charakterze wyłącznie krajowym: Dotyczy art. 108 ust. 1 pkt. 1 lit. g) oraz art. 108 ust 1 pkt 2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Wprowadzenie w błąd, zatajenie informacji, niemożność przedstawienia wymaganych dokumentów lub uzyskanie poufnych informacji na temat przedmiotowego postępowania: Dotyczy art. 109 ust. 1 pkt. 1 pkt 10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związane z wyrokami skazującymi za przestępstwo: Dotyczy art. 108 ust. 1 lit a) oraz art 108 ust 1 pkt 2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Praca dzieci i inne formy handlu ludźmi: Dotyczy art. 108 ust. 1 pkt 1 lit b, f) oraz art. 108 ust 1 pkt 2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Korupcja: Dotyczy art. 108 ust. 1 pkt 1 lit c) oraz art. 108 ust 1 pkt 2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Pranie pieniędzy lub finansowanie terroryzmu: Dotyczy art. 108 ust. 1 pkt 1 lit d) oraz art. 108 ust 1 pkt 2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Przestępstwa terrorystyczne lub przestępstwa związane z działalnością terrorystyczną: Dotyczy art. 108 ust. 1 pkt 1 lit e) oraz art. 108 ust 1 pkt 2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obowiązków w dziedzinie prawa pracy: Dotyczy art. 108 ust. 1 pkt 1 lit h) oraz art. 108 ust 1 pkt 2 ustawy PZP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 Część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1. Toxinum botulinicum typum A ad iniectabile - proszek do sporządzenia roztworu do wstrzykiwań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</w:t>
      </w: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8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9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LOT-0002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2. Interferonum beta-1a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0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1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2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LOT-0003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3. Interferonum beta-1a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3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3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4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5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LOT-0004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4. Interferonum beta-1b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6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7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8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LOT-0005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5. Teriflunomidum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9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0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1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LOT-0006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6. Peginterferonum beta-1a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6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2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3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4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LOT-0007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7. Cladribinum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7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5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6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7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LOT-0008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8. Glatirameri acetas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8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8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9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0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LOT-0009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9. Tofersenum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9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 xml:space="preserve">Opis kryterium selekcji: O udzielenie zamówienia publicznego mogą ubiegać się wykonawcy, którzy spełniają warunki, dotyczące posiadania uprawnień do prowadzenia określonej działalności gospodarczej lub zawodowej, o ile wynika to z odrębnych przepisów. Ocena </w:t>
      </w: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1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32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3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LOT-0010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10. Certolizumabum pegol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4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35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6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11. Sekukinumab - roztwór do wstrzykiwań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7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38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9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LOT-0012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12. Pirfenidonum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12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0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41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42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LOT-0013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13. Daratumumabum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13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3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44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45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LOT-0014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14. Luspaterceptum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14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6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47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48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LOT-0015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15. Elranatamab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15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 xml:space="preserve"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</w:t>
      </w: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9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50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51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LOT-0016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16. Talquetamabum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16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52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53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54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LOT-0017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17. Teclistamabum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17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55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56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57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LOT-0018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18. Mitoxantronum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18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58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59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60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LOT-0019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19. Doxorubicinum (w pegylowanych liposomach)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19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61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62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63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LOT-0020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20. Fludarabini phosphas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Adres dokumentów zamówienia: </w:t>
      </w:r>
      <w:hyperlink r:id="rId64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65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66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21. Imatinibum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67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68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69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LOT-0022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22. Bendamustini hydrochloridum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22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0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71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72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LOT-0023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23. Risdiplamum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23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3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74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75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LOT-0024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Tytuł: 24. Afliberceptum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24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6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77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78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LOT-0025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25. Dexamethasonum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25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9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80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01/06/2026 08:00:00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01/06/2026 08:30:00 (UTC+02:00) czas wschodnioeuropejski, czas środkowoeuropejski letni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Miejsce: Otwarcie ofert odbędzie się w siedzibie Zamawiającego, za pośrednictwem platformy </w:t>
      </w:r>
      <w:hyperlink r:id="rId81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 Organizacje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10 Wojskowy Szpital Kliniczny z Polikliniką Samodzielny Publiczny Zakład Opieki Zdrowotnej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090538318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Departament: Sekcja Zamówień Publicznych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Powstańców Warszawy 5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85-681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</w:t>
      </w:r>
      <w:hyperlink r:id="rId82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www.10wsk.mil.pl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83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szulczynska7502@10wsk.mil.pl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+48 261 417 448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84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www.10wsk.mil.pl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85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https://e-propublico.pl/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Nabywca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ORG-0003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KRAJOWA IZBA ODWOŁAWCZA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010828091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Postępu 17a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Warszawa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02-676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Warszawski wschodni (PL912)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</w:t>
      </w:r>
      <w:hyperlink r:id="rId86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https://www.uzp.gov.pl/kio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87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odwolania@uzp.gov.pl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224587809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Faks: +48 224587800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88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https://www.gov.pl/web/uzp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89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https://www.gov.pl/web/uzp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ORG-0004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140264957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ul. Krucza 36 / Wspólna 6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Warszawa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00-522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Miasto Warszawa (PL911)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Sąd Polubowny przy Prokuratorii Generalnej Rzeczypospolitej Polskiej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90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sp@prokuratoria.gov.pl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226958504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Adres strony internetowej: </w:t>
      </w:r>
      <w:hyperlink r:id="rId91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https://www.gov.pl/web/sp-prokuratoria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92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https://www.gov.pl/web/sp-prokuratoria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</w:t>
      </w:r>
    </w:p>
    <w:p w:rsidR="00C3226A" w:rsidRPr="00C3226A" w:rsidRDefault="00C3226A" w:rsidP="00C3226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ORG-0000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Publications Office of the European Union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PUBL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Luxembourg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2417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Luxembourg (LU000)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Luksemburg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93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ted@publications.europa.eu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+352 29291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94" w:history="1">
        <w:r w:rsidRPr="00C3226A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https://op.europa.eu</w:t>
        </w:r>
      </w:hyperlink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TED eSender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10. Zmiana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Poprzednia wersja ogłoszenia, która jest zmieniana: 319747-2026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Główny powód zmiany: Aktualizacja informacji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zmiana terminu związania ofertą, zmiana terminu składania i otwarcia ofert związana z udzielonymi wyjaśnieniami na pytania do SWZ, aktualizacja dokumentów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ogłoszeniu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Identyfikator/wersja ogłoszenia: a63081b3-f711-413f-9637-e1de13713252  -  01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Typ formularza: Procedura konkurencyjna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 ogłoszenia: Ogłoszenie o zamówieniu lub ogłoszenie o koncesji – tryb standardowy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Podrodzaj ogłoszenia: 16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Ogłoszenie – data wysłania: 20/05/2026 13:43:34 (UTC+00:00) czas zachodnioeuropejski, GMT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przedmiotowe ogłoszenie jest oficjalnie dostępne: polski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publikacji ogłoszenia: 353473-2026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wydania Dz.U. S: 98/2026</w:t>
      </w:r>
    </w:p>
    <w:p w:rsidR="00C3226A" w:rsidRPr="00C3226A" w:rsidRDefault="00C3226A" w:rsidP="00C3226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3226A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publikacji: 22/05/2026</w:t>
      </w:r>
    </w:p>
    <w:p w:rsidR="00C3226A" w:rsidRPr="00C3226A" w:rsidRDefault="00C3226A" w:rsidP="00C3226A">
      <w:pPr>
        <w:spacing w:after="0"/>
        <w:jc w:val="right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Zamawiający</w:t>
      </w: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3226A" w:rsidRPr="000C4DBC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33</w:t>
      </w:r>
      <w:r w:rsidRPr="000C4DBC">
        <w:rPr>
          <w:rFonts w:ascii="Arial Narrow" w:hAnsi="Arial Narrow" w:cs="Times New Roman"/>
          <w:sz w:val="18"/>
          <w:szCs w:val="18"/>
        </w:rPr>
        <w:t xml:space="preserve"> str.</w:t>
      </w:r>
    </w:p>
    <w:p w:rsidR="00C3226A" w:rsidRPr="000C4DBC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C3226A" w:rsidRPr="000C4DBC" w:rsidRDefault="00C3226A" w:rsidP="00C3226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95" w:history="1">
        <w:r w:rsidRPr="000C4DBC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C3226A" w:rsidRPr="000C4DBC" w:rsidRDefault="00C3226A" w:rsidP="00C3226A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Data: </w:t>
      </w:r>
      <w:r>
        <w:rPr>
          <w:rFonts w:ascii="Arial Narrow" w:hAnsi="Arial Narrow" w:cs="Times New Roman"/>
          <w:sz w:val="18"/>
          <w:szCs w:val="18"/>
        </w:rPr>
        <w:t>22</w:t>
      </w:r>
      <w:r w:rsidRPr="000C4DBC">
        <w:rPr>
          <w:rFonts w:ascii="Arial Narrow" w:hAnsi="Arial Narrow" w:cs="Times New Roman"/>
          <w:sz w:val="18"/>
          <w:szCs w:val="18"/>
        </w:rPr>
        <w:t>.0</w:t>
      </w:r>
      <w:r>
        <w:rPr>
          <w:rFonts w:ascii="Arial Narrow" w:hAnsi="Arial Narrow" w:cs="Times New Roman"/>
          <w:sz w:val="18"/>
          <w:szCs w:val="18"/>
        </w:rPr>
        <w:t>5</w:t>
      </w:r>
      <w:r w:rsidRPr="000C4DBC">
        <w:rPr>
          <w:rFonts w:ascii="Arial Narrow" w:hAnsi="Arial Narrow" w:cs="Times New Roman"/>
          <w:sz w:val="18"/>
          <w:szCs w:val="18"/>
        </w:rPr>
        <w:t>.2026 r.</w:t>
      </w:r>
    </w:p>
    <w:p w:rsidR="00EB29E1" w:rsidRPr="00C3226A" w:rsidRDefault="00DD3D2E" w:rsidP="00C3226A">
      <w:pPr>
        <w:rPr>
          <w:rFonts w:ascii="Arial Narrow" w:hAnsi="Arial Narrow"/>
          <w:sz w:val="18"/>
          <w:szCs w:val="18"/>
        </w:rPr>
      </w:pPr>
    </w:p>
    <w:sectPr w:rsidR="00EB29E1" w:rsidRPr="00C3226A" w:rsidSect="00C3226A">
      <w:headerReference w:type="default" r:id="rId96"/>
      <w:footerReference w:type="default" r:id="rId97"/>
      <w:pgSz w:w="11906" w:h="16838"/>
      <w:pgMar w:top="1276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3D2E" w:rsidRDefault="00DD3D2E" w:rsidP="00C3226A">
      <w:pPr>
        <w:spacing w:after="0" w:line="240" w:lineRule="auto"/>
      </w:pPr>
      <w:r>
        <w:separator/>
      </w:r>
    </w:p>
  </w:endnote>
  <w:endnote w:type="continuationSeparator" w:id="1">
    <w:p w:rsidR="00DD3D2E" w:rsidRDefault="00DD3D2E" w:rsidP="00C32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577216"/>
      <w:docPartObj>
        <w:docPartGallery w:val="Page Numbers (Bottom of Page)"/>
        <w:docPartUnique/>
      </w:docPartObj>
    </w:sdtPr>
    <w:sdtContent>
      <w:p w:rsidR="00C3226A" w:rsidRDefault="00C3226A">
        <w:pPr>
          <w:pStyle w:val="Stopka"/>
          <w:jc w:val="right"/>
        </w:pPr>
        <w:fldSimple w:instr=" PAGE   \* MERGEFORMAT ">
          <w:r>
            <w:rPr>
              <w:noProof/>
            </w:rPr>
            <w:t>32</w:t>
          </w:r>
        </w:fldSimple>
      </w:p>
    </w:sdtContent>
  </w:sdt>
  <w:p w:rsidR="00C3226A" w:rsidRDefault="00C322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3D2E" w:rsidRDefault="00DD3D2E" w:rsidP="00C3226A">
      <w:pPr>
        <w:spacing w:after="0" w:line="240" w:lineRule="auto"/>
      </w:pPr>
      <w:r>
        <w:separator/>
      </w:r>
    </w:p>
  </w:footnote>
  <w:footnote w:type="continuationSeparator" w:id="1">
    <w:p w:rsidR="00DD3D2E" w:rsidRDefault="00DD3D2E" w:rsidP="00C322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26A" w:rsidRDefault="00C3226A">
    <w:pPr>
      <w:pStyle w:val="Nagwek"/>
    </w:pPr>
    <w:r>
      <w:t>62/2026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226A"/>
    <w:rsid w:val="00541F64"/>
    <w:rsid w:val="00587432"/>
    <w:rsid w:val="008D58A6"/>
    <w:rsid w:val="00C3226A"/>
    <w:rsid w:val="00DD3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74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C3226A"/>
  </w:style>
  <w:style w:type="character" w:customStyle="1" w:styleId="label">
    <w:name w:val="label"/>
    <w:basedOn w:val="Domylnaczcionkaakapitu"/>
    <w:rsid w:val="00C3226A"/>
  </w:style>
  <w:style w:type="character" w:customStyle="1" w:styleId="data">
    <w:name w:val="data"/>
    <w:basedOn w:val="Domylnaczcionkaakapitu"/>
    <w:rsid w:val="00C3226A"/>
  </w:style>
  <w:style w:type="character" w:styleId="Hipercze">
    <w:name w:val="Hyperlink"/>
    <w:basedOn w:val="Domylnaczcionkaakapitu"/>
    <w:uiPriority w:val="99"/>
    <w:semiHidden/>
    <w:unhideWhenUsed/>
    <w:rsid w:val="00C3226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3226A"/>
    <w:rPr>
      <w:color w:val="800080"/>
      <w:u w:val="single"/>
    </w:rPr>
  </w:style>
  <w:style w:type="character" w:customStyle="1" w:styleId="line">
    <w:name w:val="line"/>
    <w:basedOn w:val="Domylnaczcionkaakapitu"/>
    <w:rsid w:val="00C3226A"/>
  </w:style>
  <w:style w:type="paragraph" w:styleId="Nagwek">
    <w:name w:val="header"/>
    <w:basedOn w:val="Normalny"/>
    <w:link w:val="NagwekZnak"/>
    <w:uiPriority w:val="99"/>
    <w:semiHidden/>
    <w:unhideWhenUsed/>
    <w:rsid w:val="00C32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3226A"/>
  </w:style>
  <w:style w:type="paragraph" w:styleId="Stopka">
    <w:name w:val="footer"/>
    <w:basedOn w:val="Normalny"/>
    <w:link w:val="StopkaZnak"/>
    <w:uiPriority w:val="99"/>
    <w:unhideWhenUsed/>
    <w:rsid w:val="00C32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22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0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63" Type="http://schemas.openxmlformats.org/officeDocument/2006/relationships/hyperlink" Target="http://e-propublico.pl/" TargetMode="External"/><Relationship Id="rId68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84" Type="http://schemas.openxmlformats.org/officeDocument/2006/relationships/hyperlink" Target="http://www.10wsk.mil.pl/" TargetMode="External"/><Relationship Id="rId89" Type="http://schemas.openxmlformats.org/officeDocument/2006/relationships/hyperlink" Target="https://www.gov.pl/web/uzp" TargetMode="External"/><Relationship Id="rId97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http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87" Type="http://schemas.openxmlformats.org/officeDocument/2006/relationships/hyperlink" Target="mailto:odwolania@uzp.gov.pl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://www.10wsk.mil.pl/" TargetMode="External"/><Relationship Id="rId90" Type="http://schemas.openxmlformats.org/officeDocument/2006/relationships/hyperlink" Target="mailto:sp@prokuratoria.gov.pl" TargetMode="External"/><Relationship Id="rId95" Type="http://schemas.openxmlformats.org/officeDocument/2006/relationships/hyperlink" Target="mailto:szulczynska5702@10wsk.mil.pl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77" Type="http://schemas.openxmlformats.org/officeDocument/2006/relationships/hyperlink" Target="https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mailto:ted@publications.europa.eu" TargetMode="External"/><Relationship Id="rId98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83" Type="http://schemas.openxmlformats.org/officeDocument/2006/relationships/hyperlink" Target="mailto:szulczynska7502@10wsk.mil.pl" TargetMode="External"/><Relationship Id="rId88" Type="http://schemas.openxmlformats.org/officeDocument/2006/relationships/hyperlink" Target="https://www.gov.pl/web/uzp" TargetMode="External"/><Relationship Id="rId91" Type="http://schemas.openxmlformats.org/officeDocument/2006/relationships/hyperlink" Target="https://www.gov.pl/web/sp-prokuratoria" TargetMode="External"/><Relationship Id="rId9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www.uzp.gov.pl/kio" TargetMode="External"/><Relationship Id="rId94" Type="http://schemas.openxmlformats.org/officeDocument/2006/relationships/hyperlink" Target="https://op.europa.eu/" TargetMode="External"/><Relationship Id="rId9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33</Pages>
  <Words>15174</Words>
  <Characters>91048</Characters>
  <Application>Microsoft Office Word</Application>
  <DocSecurity>0</DocSecurity>
  <Lines>758</Lines>
  <Paragraphs>212</Paragraphs>
  <ScaleCrop>false</ScaleCrop>
  <Company/>
  <LinksUpToDate>false</LinksUpToDate>
  <CharactersWithSpaces>106010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2026-05-22T05:03:00Z</dcterms:created>
  <dcterms:modified xsi:type="dcterms:W3CDTF">2026-05-22T05:08:00Z</dcterms:modified>
</cp:coreProperties>
</file>