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E9772B7" w14:textId="0C7AC259" w:rsidR="006E3A0F" w:rsidRDefault="006E3A0F" w:rsidP="00704B48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1A6C3F0A" w14:textId="77777777" w:rsidR="00A070FC" w:rsidRPr="00CB2EEE" w:rsidRDefault="00A070FC" w:rsidP="00A070FC">
      <w:r w:rsidRPr="00CB2EEE">
        <w:rPr>
          <w:b/>
          <w:bCs/>
        </w:rPr>
        <w:t>Informacje ogólne</w:t>
      </w:r>
      <w:r>
        <w:rPr>
          <w:b/>
          <w:bCs/>
        </w:rPr>
        <w:t xml:space="preserve"> </w:t>
      </w:r>
      <w:r w:rsidRPr="00CB2EEE">
        <w:t xml:space="preserve">Technologia: Real-Time PCR (qPCR) </w:t>
      </w:r>
    </w:p>
    <w:p w14:paraId="5F78495B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Blok grzejno-chłodzący</w:t>
      </w:r>
    </w:p>
    <w:p w14:paraId="24A31408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Technologia: układy Peltiera</w:t>
      </w:r>
    </w:p>
    <w:p w14:paraId="1F4446EF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Pojemność bloku: 96 próbek</w:t>
      </w:r>
    </w:p>
    <w:p w14:paraId="1961F201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Obsługiwane materiały:</w:t>
      </w:r>
    </w:p>
    <w:p w14:paraId="5D8DC629" w14:textId="77777777" w:rsidR="00525AC7" w:rsidRPr="00CB2EEE" w:rsidRDefault="00525AC7" w:rsidP="00525AC7">
      <w:pPr>
        <w:numPr>
          <w:ilvl w:val="1"/>
          <w:numId w:val="10"/>
        </w:numPr>
        <w:spacing w:after="0" w:line="240" w:lineRule="auto"/>
      </w:pPr>
      <w:r w:rsidRPr="00CB2EEE">
        <w:t>standardowe niskoprofilowe mikropłytki 96-dołkowe</w:t>
      </w:r>
    </w:p>
    <w:p w14:paraId="22F7FCC5" w14:textId="77777777" w:rsidR="00525AC7" w:rsidRPr="00CB2EEE" w:rsidRDefault="00525AC7" w:rsidP="00525AC7">
      <w:pPr>
        <w:numPr>
          <w:ilvl w:val="1"/>
          <w:numId w:val="10"/>
        </w:numPr>
        <w:spacing w:after="0" w:line="240" w:lineRule="auto"/>
      </w:pPr>
      <w:r w:rsidRPr="00CB2EEE">
        <w:t>paski probówek PCR</w:t>
      </w:r>
    </w:p>
    <w:p w14:paraId="1EA8DE4C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Zakres temperatury bloku: 4–100°C</w:t>
      </w:r>
    </w:p>
    <w:p w14:paraId="4F64BD16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Dokładność temperatury: ±0,2°C przy 90°C</w:t>
      </w:r>
    </w:p>
    <w:p w14:paraId="66B6C6A9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Jednorodność temperatury: ±0,3°C przy 90°C (osiągana w ciągu 10 s)</w:t>
      </w:r>
    </w:p>
    <w:p w14:paraId="0CF04127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Maksymalna szybkość zmian temperatury: 5°C/s</w:t>
      </w:r>
    </w:p>
    <w:p w14:paraId="78001D07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Średnia szybkość zmian temperatury: 3,3°C/s</w:t>
      </w:r>
    </w:p>
    <w:p w14:paraId="376687A9" w14:textId="77777777" w:rsidR="00525AC7" w:rsidRPr="00CB2EEE" w:rsidRDefault="00525AC7" w:rsidP="00525AC7">
      <w:pPr>
        <w:numPr>
          <w:ilvl w:val="0"/>
          <w:numId w:val="10"/>
        </w:numPr>
        <w:spacing w:after="0" w:line="240" w:lineRule="auto"/>
      </w:pPr>
      <w:r w:rsidRPr="00CB2EEE">
        <w:t>Zakres objętości próbki: 1–50 µl</w:t>
      </w:r>
    </w:p>
    <w:p w14:paraId="736F2A72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Pokrywa grzewcza</w:t>
      </w:r>
    </w:p>
    <w:p w14:paraId="0ABC3F45" w14:textId="77777777" w:rsidR="00525AC7" w:rsidRPr="00CB2EEE" w:rsidRDefault="00525AC7" w:rsidP="00525AC7">
      <w:pPr>
        <w:numPr>
          <w:ilvl w:val="0"/>
          <w:numId w:val="11"/>
        </w:numPr>
        <w:spacing w:after="0" w:line="240" w:lineRule="auto"/>
      </w:pPr>
      <w:r w:rsidRPr="00CB2EEE">
        <w:t>Automatycznie wsuwana pokrywa</w:t>
      </w:r>
    </w:p>
    <w:p w14:paraId="72D3E440" w14:textId="77777777" w:rsidR="00525AC7" w:rsidRPr="00CB2EEE" w:rsidRDefault="00525AC7" w:rsidP="00525AC7">
      <w:pPr>
        <w:numPr>
          <w:ilvl w:val="0"/>
          <w:numId w:val="11"/>
        </w:numPr>
        <w:spacing w:after="0" w:line="240" w:lineRule="auto"/>
      </w:pPr>
      <w:r w:rsidRPr="00CB2EEE">
        <w:t>Automatyczne otwieranie i zamykanie</w:t>
      </w:r>
    </w:p>
    <w:p w14:paraId="45E84F34" w14:textId="77777777" w:rsidR="00525AC7" w:rsidRPr="00CB2EEE" w:rsidRDefault="00525AC7" w:rsidP="00525AC7">
      <w:pPr>
        <w:numPr>
          <w:ilvl w:val="0"/>
          <w:numId w:val="11"/>
        </w:numPr>
        <w:spacing w:after="0" w:line="240" w:lineRule="auto"/>
      </w:pPr>
      <w:r w:rsidRPr="00CB2EEE">
        <w:t>Automatyczne dociskanie studzienek reakcyjnych</w:t>
      </w:r>
    </w:p>
    <w:p w14:paraId="7C3363B7" w14:textId="77777777" w:rsidR="00525AC7" w:rsidRPr="00CB2EEE" w:rsidRDefault="00525AC7" w:rsidP="00525AC7">
      <w:pPr>
        <w:numPr>
          <w:ilvl w:val="0"/>
          <w:numId w:val="11"/>
        </w:numPr>
        <w:spacing w:after="0" w:line="240" w:lineRule="auto"/>
      </w:pPr>
      <w:r w:rsidRPr="00CB2EEE">
        <w:t>Zakres temperatury pokrywy: 30–110°C</w:t>
      </w:r>
    </w:p>
    <w:p w14:paraId="5A855DE9" w14:textId="77777777" w:rsidR="00525AC7" w:rsidRPr="00CB2EEE" w:rsidRDefault="00525AC7" w:rsidP="00525AC7">
      <w:pPr>
        <w:numPr>
          <w:ilvl w:val="0"/>
          <w:numId w:val="11"/>
        </w:numPr>
        <w:spacing w:after="0" w:line="240" w:lineRule="auto"/>
      </w:pPr>
      <w:r w:rsidRPr="00CB2EEE">
        <w:t>Konstrukcja niewymagająca dodatkowej przestrzeni nad urządzeniem</w:t>
      </w:r>
    </w:p>
    <w:p w14:paraId="4970AC5B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Gradient termiczny</w:t>
      </w:r>
    </w:p>
    <w:p w14:paraId="0290EA71" w14:textId="77777777" w:rsidR="00525AC7" w:rsidRPr="00CB2EEE" w:rsidRDefault="00525AC7" w:rsidP="00525AC7">
      <w:pPr>
        <w:numPr>
          <w:ilvl w:val="0"/>
          <w:numId w:val="12"/>
        </w:numPr>
        <w:spacing w:after="0" w:line="240" w:lineRule="auto"/>
      </w:pPr>
      <w:r w:rsidRPr="00CB2EEE">
        <w:t>Gradient umożliwiający jednoczesną optymalizację dla 12 reagentów</w:t>
      </w:r>
    </w:p>
    <w:p w14:paraId="0C7E9A31" w14:textId="77777777" w:rsidR="00525AC7" w:rsidRPr="00CB2EEE" w:rsidRDefault="00525AC7" w:rsidP="00525AC7">
      <w:pPr>
        <w:numPr>
          <w:ilvl w:val="0"/>
          <w:numId w:val="12"/>
        </w:numPr>
        <w:spacing w:after="0" w:line="240" w:lineRule="auto"/>
      </w:pPr>
      <w:r w:rsidRPr="00CB2EEE">
        <w:t>Maksymalna rozpiętość gradientu: ≥24°C</w:t>
      </w:r>
    </w:p>
    <w:p w14:paraId="6FEDF290" w14:textId="77777777" w:rsidR="00525AC7" w:rsidRPr="00CB2EEE" w:rsidRDefault="00525AC7" w:rsidP="00525AC7">
      <w:pPr>
        <w:numPr>
          <w:ilvl w:val="0"/>
          <w:numId w:val="12"/>
        </w:numPr>
        <w:spacing w:after="0" w:line="240" w:lineRule="auto"/>
      </w:pPr>
      <w:r w:rsidRPr="00CB2EEE">
        <w:t>Zakres temperatur gradientu: 30–100°C</w:t>
      </w:r>
    </w:p>
    <w:p w14:paraId="167F67F4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System optyczny</w:t>
      </w:r>
    </w:p>
    <w:p w14:paraId="30C3CAB1" w14:textId="77777777" w:rsidR="00525AC7" w:rsidRPr="00CB2EEE" w:rsidRDefault="00525AC7" w:rsidP="00525AC7">
      <w:pPr>
        <w:numPr>
          <w:ilvl w:val="0"/>
          <w:numId w:val="13"/>
        </w:numPr>
        <w:spacing w:after="0" w:line="240" w:lineRule="auto"/>
      </w:pPr>
      <w:r w:rsidRPr="00CB2EEE">
        <w:t>Źródło światła: diody LED</w:t>
      </w:r>
    </w:p>
    <w:p w14:paraId="6243B3FA" w14:textId="77777777" w:rsidR="00525AC7" w:rsidRPr="00CB2EEE" w:rsidRDefault="00525AC7" w:rsidP="00525AC7">
      <w:pPr>
        <w:numPr>
          <w:ilvl w:val="0"/>
          <w:numId w:val="13"/>
        </w:numPr>
        <w:spacing w:after="0" w:line="240" w:lineRule="auto"/>
      </w:pPr>
      <w:r w:rsidRPr="00CB2EEE">
        <w:t>Ruchomy układ optyczny zapewniający precyzyjne pozycjonowanie nad dołkiem</w:t>
      </w:r>
    </w:p>
    <w:p w14:paraId="5A5C6931" w14:textId="77777777" w:rsidR="00525AC7" w:rsidRPr="00CB2EEE" w:rsidRDefault="00525AC7" w:rsidP="00525AC7">
      <w:pPr>
        <w:numPr>
          <w:ilvl w:val="0"/>
          <w:numId w:val="13"/>
        </w:numPr>
        <w:spacing w:after="0" w:line="240" w:lineRule="auto"/>
      </w:pPr>
      <w:r w:rsidRPr="00CB2EEE">
        <w:t>Brak konieczności stosowania barwnika referencyjnego ROX</w:t>
      </w:r>
    </w:p>
    <w:p w14:paraId="263C61CE" w14:textId="77777777" w:rsidR="00525AC7" w:rsidRPr="00CB2EEE" w:rsidRDefault="00525AC7" w:rsidP="00525AC7">
      <w:pPr>
        <w:numPr>
          <w:ilvl w:val="0"/>
          <w:numId w:val="13"/>
        </w:numPr>
        <w:spacing w:after="0" w:line="240" w:lineRule="auto"/>
      </w:pPr>
      <w:r w:rsidRPr="00CB2EEE">
        <w:t>Indywidualne diody LED dla każdego kanału pomiarowego</w:t>
      </w:r>
    </w:p>
    <w:p w14:paraId="7580EFFA" w14:textId="77777777" w:rsidR="00525AC7" w:rsidRDefault="00525AC7" w:rsidP="00525AC7">
      <w:pPr>
        <w:numPr>
          <w:ilvl w:val="0"/>
          <w:numId w:val="13"/>
        </w:numPr>
        <w:spacing w:after="0" w:line="240" w:lineRule="auto"/>
      </w:pPr>
      <w:r w:rsidRPr="00CB2EEE">
        <w:t>Zainstalowane filtry wzbudzenia i emisji dla każdego kanału</w:t>
      </w:r>
    </w:p>
    <w:p w14:paraId="6E834959" w14:textId="77777777" w:rsidR="00525AC7" w:rsidRPr="00CB2EEE" w:rsidRDefault="00525AC7" w:rsidP="00525AC7">
      <w:pPr>
        <w:numPr>
          <w:ilvl w:val="0"/>
          <w:numId w:val="13"/>
        </w:numPr>
        <w:spacing w:after="0" w:line="240" w:lineRule="auto"/>
      </w:pPr>
      <w:r w:rsidRPr="00CB2EEE">
        <w:t>Metoda detekcji: fluorescencja</w:t>
      </w:r>
    </w:p>
    <w:p w14:paraId="3DA1BB2A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Multipleksowanie i kanały detekcji</w:t>
      </w:r>
    </w:p>
    <w:p w14:paraId="00962064" w14:textId="77777777" w:rsidR="00525AC7" w:rsidRPr="00CB2EEE" w:rsidRDefault="00525AC7" w:rsidP="00525AC7">
      <w:pPr>
        <w:numPr>
          <w:ilvl w:val="0"/>
          <w:numId w:val="14"/>
        </w:numPr>
        <w:spacing w:after="0" w:line="240" w:lineRule="auto"/>
      </w:pPr>
      <w:r w:rsidRPr="00CB2EEE">
        <w:t>Liczba kanałów: 2</w:t>
      </w:r>
    </w:p>
    <w:p w14:paraId="1A653F8C" w14:textId="77777777" w:rsidR="00525AC7" w:rsidRPr="00CB2EEE" w:rsidRDefault="00525AC7" w:rsidP="00525AC7">
      <w:pPr>
        <w:numPr>
          <w:ilvl w:val="0"/>
          <w:numId w:val="14"/>
        </w:numPr>
        <w:spacing w:after="0" w:line="240" w:lineRule="auto"/>
      </w:pPr>
      <w:r w:rsidRPr="00CB2EEE">
        <w:t>Możliwość jednoczesnej analizy do 2 genów w jednej próbce</w:t>
      </w:r>
    </w:p>
    <w:p w14:paraId="39439F93" w14:textId="77777777" w:rsidR="00525AC7" w:rsidRPr="00CB2EEE" w:rsidRDefault="00525AC7" w:rsidP="00525AC7">
      <w:pPr>
        <w:numPr>
          <w:ilvl w:val="0"/>
          <w:numId w:val="14"/>
        </w:numPr>
        <w:spacing w:after="0" w:line="240" w:lineRule="auto"/>
      </w:pPr>
      <w:r w:rsidRPr="00CB2EEE">
        <w:t>Dodatkowy kanał przystosowany do techniki FRET</w:t>
      </w:r>
    </w:p>
    <w:p w14:paraId="724D94D7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Obsługiwane barwniki</w:t>
      </w:r>
    </w:p>
    <w:p w14:paraId="2553FABC" w14:textId="77777777" w:rsidR="00525AC7" w:rsidRPr="00CB2EEE" w:rsidRDefault="00525AC7" w:rsidP="00525AC7">
      <w:pPr>
        <w:numPr>
          <w:ilvl w:val="0"/>
          <w:numId w:val="15"/>
        </w:numPr>
        <w:spacing w:after="0" w:line="240" w:lineRule="auto"/>
      </w:pPr>
      <w:r w:rsidRPr="00CB2EEE">
        <w:t>FAM</w:t>
      </w:r>
    </w:p>
    <w:p w14:paraId="21C6D73D" w14:textId="77777777" w:rsidR="00525AC7" w:rsidRPr="00CB2EEE" w:rsidRDefault="00525AC7" w:rsidP="00525AC7">
      <w:pPr>
        <w:numPr>
          <w:ilvl w:val="0"/>
          <w:numId w:val="15"/>
        </w:numPr>
        <w:spacing w:after="0" w:line="240" w:lineRule="auto"/>
      </w:pPr>
      <w:r w:rsidRPr="00CB2EEE">
        <w:t>SYBR Green I</w:t>
      </w:r>
    </w:p>
    <w:p w14:paraId="643C09F0" w14:textId="77777777" w:rsidR="00525AC7" w:rsidRPr="00CB2EEE" w:rsidRDefault="00525AC7" w:rsidP="00525AC7">
      <w:pPr>
        <w:numPr>
          <w:ilvl w:val="0"/>
          <w:numId w:val="15"/>
        </w:numPr>
        <w:spacing w:after="0" w:line="240" w:lineRule="auto"/>
      </w:pPr>
      <w:r w:rsidRPr="00CB2EEE">
        <w:t>VIC</w:t>
      </w:r>
    </w:p>
    <w:p w14:paraId="6E5620AA" w14:textId="77777777" w:rsidR="00525AC7" w:rsidRPr="00CB2EEE" w:rsidRDefault="00525AC7" w:rsidP="00525AC7">
      <w:pPr>
        <w:numPr>
          <w:ilvl w:val="0"/>
          <w:numId w:val="15"/>
        </w:numPr>
        <w:spacing w:after="0" w:line="240" w:lineRule="auto"/>
      </w:pPr>
      <w:r w:rsidRPr="00CB2EEE">
        <w:t>HEX</w:t>
      </w:r>
    </w:p>
    <w:p w14:paraId="793009D9" w14:textId="77777777" w:rsidR="00525AC7" w:rsidRPr="00CB2EEE" w:rsidRDefault="00525AC7" w:rsidP="00525AC7">
      <w:pPr>
        <w:numPr>
          <w:ilvl w:val="0"/>
          <w:numId w:val="15"/>
        </w:numPr>
        <w:spacing w:after="0" w:line="240" w:lineRule="auto"/>
      </w:pPr>
      <w:r w:rsidRPr="00CB2EEE">
        <w:t>CAL Fluor Gold 540</w:t>
      </w:r>
    </w:p>
    <w:p w14:paraId="42F6BFD8" w14:textId="77777777" w:rsidR="00525AC7" w:rsidRPr="00CB2EEE" w:rsidRDefault="00525AC7" w:rsidP="00525AC7">
      <w:pPr>
        <w:numPr>
          <w:ilvl w:val="0"/>
          <w:numId w:val="15"/>
        </w:numPr>
        <w:spacing w:after="0" w:line="240" w:lineRule="auto"/>
      </w:pPr>
      <w:r w:rsidRPr="00CB2EEE">
        <w:t>Cal Fluor Orange 560</w:t>
      </w:r>
    </w:p>
    <w:p w14:paraId="0F2A9E9C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Parametry analityczne</w:t>
      </w:r>
    </w:p>
    <w:p w14:paraId="711371AE" w14:textId="77777777" w:rsidR="00525AC7" w:rsidRPr="00CB2EEE" w:rsidRDefault="00525AC7" w:rsidP="00525AC7">
      <w:pPr>
        <w:numPr>
          <w:ilvl w:val="0"/>
          <w:numId w:val="16"/>
        </w:numPr>
        <w:spacing w:after="0" w:line="240" w:lineRule="auto"/>
      </w:pPr>
      <w:r w:rsidRPr="00CB2EEE">
        <w:t>Czułość: wykrywanie 1 kopii genu w materiale genetycznym człowieka</w:t>
      </w:r>
    </w:p>
    <w:p w14:paraId="11FD0418" w14:textId="77777777" w:rsidR="00525AC7" w:rsidRPr="00CB2EEE" w:rsidRDefault="00525AC7" w:rsidP="00525AC7">
      <w:pPr>
        <w:numPr>
          <w:ilvl w:val="0"/>
          <w:numId w:val="16"/>
        </w:numPr>
        <w:spacing w:after="0" w:line="240" w:lineRule="auto"/>
      </w:pPr>
      <w:r w:rsidRPr="00CB2EEE">
        <w:t>Liniowy zakres dynamiczny: 10 rzędów wielkości</w:t>
      </w:r>
    </w:p>
    <w:p w14:paraId="3292C524" w14:textId="77777777" w:rsidR="00525AC7" w:rsidRPr="00CB2EEE" w:rsidRDefault="00525AC7" w:rsidP="00525AC7">
      <w:pPr>
        <w:numPr>
          <w:ilvl w:val="0"/>
          <w:numId w:val="16"/>
        </w:numPr>
        <w:spacing w:after="0" w:line="240" w:lineRule="auto"/>
      </w:pPr>
      <w:r w:rsidRPr="00CB2EEE">
        <w:t>Możliwość wykrycia 1,3-krotnej zmiany ekspresji genów</w:t>
      </w:r>
    </w:p>
    <w:p w14:paraId="43A1C74D" w14:textId="77777777" w:rsidR="00525AC7" w:rsidRPr="00CB2EEE" w:rsidRDefault="00525AC7" w:rsidP="00525AC7">
      <w:pPr>
        <w:numPr>
          <w:ilvl w:val="0"/>
          <w:numId w:val="16"/>
        </w:numPr>
        <w:spacing w:after="0" w:line="240" w:lineRule="auto"/>
      </w:pPr>
      <w:r w:rsidRPr="00CB2EEE">
        <w:t>Kilka trybów rejestracji danych</w:t>
      </w:r>
    </w:p>
    <w:p w14:paraId="3067AAEB" w14:textId="77777777" w:rsidR="00525AC7" w:rsidRPr="00CB2EEE" w:rsidRDefault="00525AC7" w:rsidP="00525AC7">
      <w:pPr>
        <w:numPr>
          <w:ilvl w:val="0"/>
          <w:numId w:val="16"/>
        </w:numPr>
        <w:spacing w:after="0" w:line="240" w:lineRule="auto"/>
      </w:pPr>
      <w:r w:rsidRPr="00CB2EEE">
        <w:t>Szybki pomiar dla pojedynczego kanału</w:t>
      </w:r>
    </w:p>
    <w:p w14:paraId="72B5DB1E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Oprogramowanie i analizy</w:t>
      </w:r>
    </w:p>
    <w:p w14:paraId="45A3F753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Programowanie reakcji z poziomu komputera PC</w:t>
      </w:r>
    </w:p>
    <w:p w14:paraId="3E53F482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Instalacja oprogramowania na wielu komputerach</w:t>
      </w:r>
    </w:p>
    <w:p w14:paraId="35D7F266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Tworzenie krzywych kalibracyjnych</w:t>
      </w:r>
    </w:p>
    <w:p w14:paraId="387AFE5C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Analiza krzywej topnienia</w:t>
      </w:r>
    </w:p>
    <w:p w14:paraId="617CD7F3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Analiza ekspresji genów metodami ΔCt i ΔΔCt</w:t>
      </w:r>
    </w:p>
    <w:p w14:paraId="0D757EE4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Obsługa wielu genów referencyjnych</w:t>
      </w:r>
    </w:p>
    <w:p w14:paraId="6F919CBC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Porównywanie próbek z różnych pomiarów</w:t>
      </w:r>
    </w:p>
    <w:p w14:paraId="4036C312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Analiza typu end-point</w:t>
      </w:r>
    </w:p>
    <w:p w14:paraId="0FE65D3D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>
        <w:t>Analiza</w:t>
      </w:r>
      <w:r w:rsidRPr="00CB2EEE">
        <w:t xml:space="preserve"> alleli</w:t>
      </w:r>
    </w:p>
    <w:p w14:paraId="13939C85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Analizy statystyczne:</w:t>
      </w:r>
    </w:p>
    <w:p w14:paraId="20E84600" w14:textId="77777777" w:rsidR="00525AC7" w:rsidRPr="00CB2EEE" w:rsidRDefault="00525AC7" w:rsidP="00525AC7">
      <w:pPr>
        <w:numPr>
          <w:ilvl w:val="1"/>
          <w:numId w:val="17"/>
        </w:numPr>
        <w:spacing w:after="0" w:line="240" w:lineRule="auto"/>
      </w:pPr>
      <w:r w:rsidRPr="00CB2EEE">
        <w:t>test t-Studenta</w:t>
      </w:r>
    </w:p>
    <w:p w14:paraId="09D243DF" w14:textId="77777777" w:rsidR="00525AC7" w:rsidRPr="00CB2EEE" w:rsidRDefault="00525AC7" w:rsidP="00525AC7">
      <w:pPr>
        <w:numPr>
          <w:ilvl w:val="1"/>
          <w:numId w:val="17"/>
        </w:numPr>
        <w:spacing w:after="0" w:line="240" w:lineRule="auto"/>
      </w:pPr>
      <w:r w:rsidRPr="00CB2EEE">
        <w:t>dwuczynnikowa ANOVA</w:t>
      </w:r>
    </w:p>
    <w:p w14:paraId="62827BA1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Porównywanie grup biologicznych</w:t>
      </w:r>
    </w:p>
    <w:p w14:paraId="42CDC37A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Analiza stabilności genów referencyjnych</w:t>
      </w:r>
    </w:p>
    <w:p w14:paraId="6AD1000D" w14:textId="77777777" w:rsidR="00525AC7" w:rsidRPr="00CB2EEE" w:rsidRDefault="00525AC7" w:rsidP="00525AC7">
      <w:pPr>
        <w:numPr>
          <w:ilvl w:val="0"/>
          <w:numId w:val="17"/>
        </w:numPr>
        <w:spacing w:after="0" w:line="240" w:lineRule="auto"/>
      </w:pPr>
      <w:r w:rsidRPr="00CB2EEE">
        <w:t>Eksport wyników do:</w:t>
      </w:r>
    </w:p>
    <w:p w14:paraId="6EFBDFAA" w14:textId="77777777" w:rsidR="00525AC7" w:rsidRPr="00CB2EEE" w:rsidRDefault="00525AC7" w:rsidP="00525AC7">
      <w:pPr>
        <w:numPr>
          <w:ilvl w:val="1"/>
          <w:numId w:val="17"/>
        </w:numPr>
        <w:spacing w:after="0" w:line="240" w:lineRule="auto"/>
      </w:pPr>
      <w:r w:rsidRPr="00CB2EEE">
        <w:t>Microsoft Excel</w:t>
      </w:r>
    </w:p>
    <w:p w14:paraId="4FC08128" w14:textId="77777777" w:rsidR="00525AC7" w:rsidRPr="00CB2EEE" w:rsidRDefault="00525AC7" w:rsidP="00525AC7">
      <w:pPr>
        <w:numPr>
          <w:ilvl w:val="1"/>
          <w:numId w:val="17"/>
        </w:numPr>
        <w:spacing w:after="0" w:line="240" w:lineRule="auto"/>
      </w:pPr>
      <w:r w:rsidRPr="00CB2EEE">
        <w:t>Microsoft Word</w:t>
      </w:r>
    </w:p>
    <w:p w14:paraId="2727B3E0" w14:textId="77777777" w:rsidR="00525AC7" w:rsidRPr="00490C10" w:rsidRDefault="00525AC7" w:rsidP="00525AC7">
      <w:pPr>
        <w:numPr>
          <w:ilvl w:val="1"/>
          <w:numId w:val="17"/>
        </w:numPr>
        <w:spacing w:after="0" w:line="240" w:lineRule="auto"/>
      </w:pPr>
      <w:r w:rsidRPr="00CB2EEE">
        <w:t>Microsoft PowerPoint</w:t>
      </w:r>
    </w:p>
    <w:p w14:paraId="392C51C5" w14:textId="77777777" w:rsidR="00525AC7" w:rsidRDefault="00525AC7" w:rsidP="00525AC7">
      <w:pPr>
        <w:numPr>
          <w:ilvl w:val="0"/>
          <w:numId w:val="18"/>
        </w:numPr>
        <w:spacing w:after="0" w:line="240" w:lineRule="auto"/>
      </w:pPr>
      <w:r>
        <w:t>Połączenie do komputera</w:t>
      </w:r>
      <w:r w:rsidRPr="00CB2EEE">
        <w:t>: USB 2.0</w:t>
      </w:r>
    </w:p>
    <w:p w14:paraId="7449D1A6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Serwis i eksploatacja</w:t>
      </w:r>
    </w:p>
    <w:p w14:paraId="4EFCBA66" w14:textId="77777777" w:rsidR="00525AC7" w:rsidRPr="00CB2EEE" w:rsidRDefault="00525AC7" w:rsidP="00525AC7">
      <w:pPr>
        <w:numPr>
          <w:ilvl w:val="0"/>
          <w:numId w:val="19"/>
        </w:numPr>
        <w:spacing w:after="0" w:line="240" w:lineRule="auto"/>
      </w:pPr>
      <w:r w:rsidRPr="00CB2EEE">
        <w:t>Brak konieczności kalib</w:t>
      </w:r>
      <w:bookmarkStart w:id="0" w:name="_GoBack"/>
      <w:bookmarkEnd w:id="0"/>
      <w:r w:rsidRPr="00CB2EEE">
        <w:t>racji instalacyjnej i okresowej</w:t>
      </w:r>
    </w:p>
    <w:p w14:paraId="5087C6E0" w14:textId="77777777" w:rsidR="00525AC7" w:rsidRPr="00CB2EEE" w:rsidRDefault="00525AC7" w:rsidP="00525AC7">
      <w:pPr>
        <w:numPr>
          <w:ilvl w:val="0"/>
          <w:numId w:val="19"/>
        </w:numPr>
        <w:spacing w:after="0" w:line="240" w:lineRule="auto"/>
      </w:pPr>
      <w:r w:rsidRPr="00CB2EEE">
        <w:t xml:space="preserve">Gwarancja: </w:t>
      </w:r>
      <w:r>
        <w:t xml:space="preserve">min. </w:t>
      </w:r>
      <w:r w:rsidRPr="00CB2EEE">
        <w:t>24 miesiące</w:t>
      </w:r>
    </w:p>
    <w:p w14:paraId="03E567D4" w14:textId="77777777" w:rsidR="00525AC7" w:rsidRPr="00CB2EEE" w:rsidRDefault="00525AC7" w:rsidP="00525AC7">
      <w:pPr>
        <w:numPr>
          <w:ilvl w:val="0"/>
          <w:numId w:val="19"/>
        </w:numPr>
        <w:spacing w:after="0" w:line="240" w:lineRule="auto"/>
      </w:pPr>
      <w:r w:rsidRPr="00CB2EEE">
        <w:t>1</w:t>
      </w:r>
      <w:r>
        <w:t xml:space="preserve"> bezpłatny</w:t>
      </w:r>
      <w:r w:rsidRPr="00CB2EEE">
        <w:t xml:space="preserve"> przegląd techniczny w okresie gwarancyjnym</w:t>
      </w:r>
    </w:p>
    <w:p w14:paraId="12CCEB70" w14:textId="77777777" w:rsidR="00525AC7" w:rsidRPr="00CB2EEE" w:rsidRDefault="00525AC7" w:rsidP="00525AC7">
      <w:pPr>
        <w:numPr>
          <w:ilvl w:val="0"/>
          <w:numId w:val="19"/>
        </w:numPr>
        <w:spacing w:after="0" w:line="240" w:lineRule="auto"/>
      </w:pPr>
      <w:r w:rsidRPr="00CB2EEE">
        <w:t>Bezpłatn</w:t>
      </w:r>
      <w:r>
        <w:t>y instruktaż</w:t>
      </w:r>
      <w:r w:rsidRPr="00CB2EEE">
        <w:t xml:space="preserve"> dla dowolnej liczby użytkowników</w:t>
      </w:r>
    </w:p>
    <w:p w14:paraId="5A70DCBC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Wyposażenie</w:t>
      </w:r>
    </w:p>
    <w:p w14:paraId="36D10937" w14:textId="77777777" w:rsidR="00525AC7" w:rsidRPr="00CB2EEE" w:rsidRDefault="00525AC7" w:rsidP="00525AC7">
      <w:pPr>
        <w:numPr>
          <w:ilvl w:val="0"/>
          <w:numId w:val="20"/>
        </w:numPr>
        <w:spacing w:after="0" w:line="240" w:lineRule="auto"/>
      </w:pPr>
      <w:r w:rsidRPr="00CB2EEE">
        <w:t>Stacja robocza do sterowania i analizy wyników w zestawie</w:t>
      </w:r>
      <w:r>
        <w:t xml:space="preserve"> = laptop (o parametrach minimum: procesor – Intel Core 5; pamięć – 16GB DDR5; dysk – 256 GB SSD; ekran 14’’ Full HD)</w:t>
      </w:r>
    </w:p>
    <w:p w14:paraId="0C5B528F" w14:textId="77777777" w:rsidR="00525AC7" w:rsidRPr="00CB2EEE" w:rsidRDefault="00525AC7" w:rsidP="00525AC7">
      <w:pPr>
        <w:rPr>
          <w:b/>
          <w:bCs/>
        </w:rPr>
      </w:pPr>
      <w:r w:rsidRPr="00CB2EEE">
        <w:rPr>
          <w:b/>
          <w:bCs/>
        </w:rPr>
        <w:t>Parametry fizyczne</w:t>
      </w:r>
    </w:p>
    <w:p w14:paraId="267AE7AE" w14:textId="77777777" w:rsidR="00525AC7" w:rsidRDefault="00525AC7" w:rsidP="00525AC7">
      <w:pPr>
        <w:numPr>
          <w:ilvl w:val="0"/>
          <w:numId w:val="21"/>
        </w:numPr>
        <w:spacing w:after="0" w:line="240" w:lineRule="auto"/>
      </w:pPr>
      <w:r w:rsidRPr="00CB2EEE">
        <w:t>Waga: 2</w:t>
      </w:r>
      <w:r>
        <w:t>3</w:t>
      </w:r>
      <w:r w:rsidRPr="00CB2EEE">
        <w:t xml:space="preserve"> kg</w:t>
      </w:r>
      <w:r>
        <w:t xml:space="preserve"> +/- 2 kg</w:t>
      </w:r>
    </w:p>
    <w:p w14:paraId="5416CCBC" w14:textId="77777777" w:rsidR="00525AC7" w:rsidRDefault="00525AC7" w:rsidP="00525AC7">
      <w:pPr>
        <w:numPr>
          <w:ilvl w:val="0"/>
          <w:numId w:val="21"/>
        </w:numPr>
        <w:spacing w:after="0" w:line="240" w:lineRule="auto"/>
      </w:pPr>
      <w:r w:rsidRPr="00CB2EEE">
        <w:t>Wymiary</w:t>
      </w:r>
      <w:r>
        <w:t xml:space="preserve"> (szer. × gł. × wys.) </w:t>
      </w:r>
      <w:r w:rsidRPr="00CB2EEE">
        <w:t>33 × 56 × 36 cm</w:t>
      </w:r>
      <w:r>
        <w:t>;  +/- 3 cm</w:t>
      </w:r>
    </w:p>
    <w:p w14:paraId="09B92FED" w14:textId="77777777" w:rsidR="00525AC7" w:rsidRDefault="00525AC7" w:rsidP="00525AC7"/>
    <w:p w14:paraId="20705298" w14:textId="77777777" w:rsidR="00525AC7" w:rsidRDefault="00525AC7" w:rsidP="00525AC7">
      <w:r w:rsidRPr="00525AC7">
        <w:rPr>
          <w:b/>
        </w:rPr>
        <w:t>Termin realizacji od daty zawarcia umowy</w:t>
      </w:r>
      <w:r>
        <w:t xml:space="preserve"> – max. 4 tygodnie</w:t>
      </w:r>
    </w:p>
    <w:p w14:paraId="101D4D3D" w14:textId="77777777" w:rsidR="00525AC7" w:rsidRPr="00CB2EEE" w:rsidRDefault="00525AC7" w:rsidP="00525AC7"/>
    <w:p w14:paraId="4287623E" w14:textId="77777777" w:rsidR="00A070FC" w:rsidRPr="00CB2EEE" w:rsidRDefault="00A070FC" w:rsidP="00A070FC"/>
    <w:p w14:paraId="522DFCE8" w14:textId="77777777" w:rsidR="00A070FC" w:rsidRPr="00A070FC" w:rsidRDefault="00A070FC" w:rsidP="00A070FC">
      <w:pPr>
        <w:jc w:val="both"/>
        <w:rPr>
          <w:bCs/>
        </w:rPr>
      </w:pPr>
    </w:p>
    <w:sectPr w:rsidR="00A070FC" w:rsidRPr="00A070FC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7BF5418" w16cex:dateUtc="2026-07-02T06:43:00Z"/>
  <w16cex:commentExtensible w16cex:durableId="7A2B50A4" w16cex:dateUtc="2026-07-02T06:44:00Z"/>
  <w16cex:commentExtensible w16cex:durableId="7D77D883" w16cex:dateUtc="2026-07-02T06:45:00Z"/>
  <w16cex:commentExtensible w16cex:durableId="0006F7B0" w16cex:dateUtc="2026-07-02T06:46:00Z"/>
  <w16cex:commentExtensible w16cex:durableId="1F3D4017" w16cex:dateUtc="2026-07-02T06:47:00Z"/>
  <w16cex:commentExtensible w16cex:durableId="5CE377D4" w16cex:dateUtc="2026-07-02T06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ED0A9E8" w16cid:durableId="37BF5418"/>
  <w16cid:commentId w16cid:paraId="06130AC4" w16cid:durableId="7A2B50A4"/>
  <w16cid:commentId w16cid:paraId="2390C0BF" w16cid:durableId="7D77D883"/>
  <w16cid:commentId w16cid:paraId="033F1411" w16cid:durableId="0006F7B0"/>
  <w16cid:commentId w16cid:paraId="25F177E4" w16cid:durableId="1F3D4017"/>
  <w16cid:commentId w16cid:paraId="3B9123A6" w16cid:durableId="5CE377D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651EDE"/>
    <w:multiLevelType w:val="hybridMultilevel"/>
    <w:tmpl w:val="2B59E1B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F8537C"/>
    <w:multiLevelType w:val="hybridMultilevel"/>
    <w:tmpl w:val="AE39A0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EB53C7"/>
    <w:multiLevelType w:val="multilevel"/>
    <w:tmpl w:val="6262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EE06A8"/>
    <w:multiLevelType w:val="multilevel"/>
    <w:tmpl w:val="1D64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E2F0F"/>
    <w:multiLevelType w:val="multilevel"/>
    <w:tmpl w:val="FCF86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C6460"/>
    <w:multiLevelType w:val="multilevel"/>
    <w:tmpl w:val="1C043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0D7F92"/>
    <w:multiLevelType w:val="multilevel"/>
    <w:tmpl w:val="ADA4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AD65EA"/>
    <w:multiLevelType w:val="multilevel"/>
    <w:tmpl w:val="29BE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B91DD9"/>
    <w:multiLevelType w:val="multilevel"/>
    <w:tmpl w:val="7E249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76DCA"/>
    <w:multiLevelType w:val="multilevel"/>
    <w:tmpl w:val="55ACF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9E1FED"/>
    <w:multiLevelType w:val="multilevel"/>
    <w:tmpl w:val="07EC6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234CDC"/>
    <w:multiLevelType w:val="multilevel"/>
    <w:tmpl w:val="B4E2D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295B79"/>
    <w:multiLevelType w:val="multilevel"/>
    <w:tmpl w:val="058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020A9"/>
    <w:multiLevelType w:val="multilevel"/>
    <w:tmpl w:val="4D008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EB036C"/>
    <w:multiLevelType w:val="multilevel"/>
    <w:tmpl w:val="F92C9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5A6B99"/>
    <w:multiLevelType w:val="multilevel"/>
    <w:tmpl w:val="52EA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503F98"/>
    <w:multiLevelType w:val="multilevel"/>
    <w:tmpl w:val="F92E1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5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6"/>
  </w:num>
  <w:num w:numId="14">
    <w:abstractNumId w:val="12"/>
  </w:num>
  <w:num w:numId="15">
    <w:abstractNumId w:val="19"/>
  </w:num>
  <w:num w:numId="16">
    <w:abstractNumId w:val="10"/>
  </w:num>
  <w:num w:numId="17">
    <w:abstractNumId w:val="17"/>
  </w:num>
  <w:num w:numId="18">
    <w:abstractNumId w:val="20"/>
  </w:num>
  <w:num w:numId="19">
    <w:abstractNumId w:val="13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0D"/>
    <w:rsid w:val="000A1DCE"/>
    <w:rsid w:val="00162694"/>
    <w:rsid w:val="001F1D60"/>
    <w:rsid w:val="00253135"/>
    <w:rsid w:val="002B4647"/>
    <w:rsid w:val="002F1DD8"/>
    <w:rsid w:val="0036728F"/>
    <w:rsid w:val="00525AC7"/>
    <w:rsid w:val="00635A19"/>
    <w:rsid w:val="00665F65"/>
    <w:rsid w:val="006C3306"/>
    <w:rsid w:val="006E3A0F"/>
    <w:rsid w:val="00704B48"/>
    <w:rsid w:val="007C63A1"/>
    <w:rsid w:val="007D1F81"/>
    <w:rsid w:val="00834759"/>
    <w:rsid w:val="008A0E0D"/>
    <w:rsid w:val="00915D5C"/>
    <w:rsid w:val="00934425"/>
    <w:rsid w:val="009545B6"/>
    <w:rsid w:val="009764F0"/>
    <w:rsid w:val="009B29BC"/>
    <w:rsid w:val="00A070FC"/>
    <w:rsid w:val="00A82737"/>
    <w:rsid w:val="00B03312"/>
    <w:rsid w:val="00B23B60"/>
    <w:rsid w:val="00C01C70"/>
    <w:rsid w:val="00CD472D"/>
    <w:rsid w:val="00EC5E5D"/>
    <w:rsid w:val="00EF5EA4"/>
    <w:rsid w:val="00E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665F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2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1DD8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  <w:style w:type="character" w:customStyle="1" w:styleId="ListParagraphChar">
    <w:name w:val="List Paragraph Char"/>
    <w:aliases w:val="CW_Lista Char"/>
    <w:link w:val="ListParagraph"/>
    <w:uiPriority w:val="34"/>
    <w:locked/>
    <w:rsid w:val="006C3306"/>
  </w:style>
  <w:style w:type="character" w:styleId="CommentReference">
    <w:name w:val="annotation reference"/>
    <w:basedOn w:val="DefaultParagraphFont"/>
    <w:rsid w:val="00A070F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07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rsid w:val="00A070F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cp:lastPrinted>2025-08-06T14:55:00Z</cp:lastPrinted>
  <dcterms:created xsi:type="dcterms:W3CDTF">2025-12-16T09:52:00Z</dcterms:created>
  <dcterms:modified xsi:type="dcterms:W3CDTF">2026-07-08T10:06:00Z</dcterms:modified>
</cp:coreProperties>
</file>