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23B9F6C7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381EF71A" w14:textId="77777777" w:rsidR="00DB179B" w:rsidRPr="00B07C83" w:rsidRDefault="00DB179B" w:rsidP="00DB179B">
      <w:pPr>
        <w:jc w:val="center"/>
        <w:rPr>
          <w:b/>
          <w:bCs/>
        </w:rPr>
      </w:pPr>
      <w:r w:rsidRPr="00B07C83">
        <w:rPr>
          <w:b/>
          <w:bCs/>
        </w:rPr>
        <w:t xml:space="preserve">System do obrazowania fluorescencyjnego i </w:t>
      </w:r>
      <w:proofErr w:type="spellStart"/>
      <w:r w:rsidRPr="00B07C83">
        <w:rPr>
          <w:b/>
          <w:bCs/>
        </w:rPr>
        <w:t>bezznakowego</w:t>
      </w:r>
      <w:proofErr w:type="spellEnd"/>
    </w:p>
    <w:p w14:paraId="16FA8082" w14:textId="77777777" w:rsidR="00DB179B" w:rsidRDefault="00DB179B" w:rsidP="001D6C2D">
      <w:pPr>
        <w:jc w:val="both"/>
      </w:pPr>
      <w:r>
        <w:t>Opis przedmiotu zamówienia:</w:t>
      </w:r>
    </w:p>
    <w:p w14:paraId="3711CA1E" w14:textId="77777777" w:rsidR="00DB179B" w:rsidRDefault="00DB179B" w:rsidP="001D6C2D">
      <w:pPr>
        <w:pStyle w:val="Akapitzlist"/>
        <w:numPr>
          <w:ilvl w:val="0"/>
          <w:numId w:val="26"/>
        </w:numPr>
        <w:spacing w:line="278" w:lineRule="auto"/>
        <w:jc w:val="both"/>
      </w:pPr>
      <w:r>
        <w:t>Statyw mikroskopu odwróconego konstrukcyjnie przystosowany do obserwacji w świetle przechodzącym, do obserwacji fluorescencyjnych oraz do współpracy z modułem konfokalnym, wyposażony w:</w:t>
      </w:r>
    </w:p>
    <w:p w14:paraId="4083A7DB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Wbudowany w statyw dotykowy, kolorowy wyświetlacz we frontowej części mikroskopu oraz dodatkowe przyciski funkcyjne po bokach mikroskopu.</w:t>
      </w:r>
    </w:p>
    <w:p w14:paraId="15CB56ED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Zmotoryzowany, kodowany rewolwer na 6 obiektywów</w:t>
      </w:r>
    </w:p>
    <w:p w14:paraId="34D277D2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Zmotoryzowana, kodowana, 6-pozycyjna karuzela na filtry fluorescencyjne (do obserwacji próbek w okularach). Łatwa, </w:t>
      </w:r>
      <w:proofErr w:type="spellStart"/>
      <w:r>
        <w:t>beznarzędziowa</w:t>
      </w:r>
      <w:proofErr w:type="spellEnd"/>
      <w:r>
        <w:t xml:space="preserve"> wymiana filtrów - montowane na magnes.</w:t>
      </w:r>
    </w:p>
    <w:p w14:paraId="094B9633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Zmotoryzowany kodowany układ ogniskowania o zakresie ruchu w osi Z min. 12 mm.</w:t>
      </w:r>
    </w:p>
    <w:p w14:paraId="33CDCD03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Zmotoryzowana i kodowana regulacja wielkości przysłon: aperturowej i polowej w torze do obserwacji w świetle przechodzącym.</w:t>
      </w:r>
    </w:p>
    <w:p w14:paraId="793EC58D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Możliwość wyboru kształtu przysłony polowej w torze optycznym dla fluorescencji: okrągła i prostokątna, o różnych rozmiarach.</w:t>
      </w:r>
    </w:p>
    <w:p w14:paraId="782DADC7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Tubus binokularowy o polu widzenia min. 25 mm i płynną regulacją rozstawu okularów w zakresie od 55 do 75 mm</w:t>
      </w:r>
    </w:p>
    <w:p w14:paraId="0B70995E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Wydajna dioda LED do obserwacji w świetle przechodzącym o długim czasie życia – minimum 20000 godz.</w:t>
      </w:r>
    </w:p>
    <w:p w14:paraId="79B8582D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Zewnętrzne źródło światła LED do obserwacji fluorescencji, zapewniające szerokopasmowe wzbudzenie </w:t>
      </w:r>
      <w:proofErr w:type="spellStart"/>
      <w:r>
        <w:t>fluoroforów</w:t>
      </w:r>
      <w:proofErr w:type="spellEnd"/>
      <w:r>
        <w:t xml:space="preserve"> w zakresie od UV do dalszej czerwieni (od DAPI do Cy5). Światło przesyłane do mikroskopu poprzez światłowód o długości 1,5 m.</w:t>
      </w:r>
    </w:p>
    <w:p w14:paraId="301BBCEC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>Skanujący stolik przedmiotowy o parametrach:</w:t>
      </w:r>
    </w:p>
    <w:p w14:paraId="332B65E7" w14:textId="77777777" w:rsidR="00DB179B" w:rsidRDefault="00DB179B" w:rsidP="001D6C2D">
      <w:pPr>
        <w:pStyle w:val="Akapitzlist"/>
        <w:numPr>
          <w:ilvl w:val="1"/>
          <w:numId w:val="26"/>
        </w:numPr>
        <w:spacing w:line="278" w:lineRule="auto"/>
        <w:jc w:val="both"/>
      </w:pPr>
      <w:r>
        <w:t>Zakres ruchu 127 x 83 mm oraz rozdzielczości ruchu nie gorszej niż 0,04μm</w:t>
      </w:r>
    </w:p>
    <w:p w14:paraId="22F1234A" w14:textId="77777777" w:rsidR="00DB179B" w:rsidRDefault="00DB179B" w:rsidP="001D6C2D">
      <w:pPr>
        <w:pStyle w:val="Akapitzlist"/>
        <w:numPr>
          <w:ilvl w:val="1"/>
          <w:numId w:val="26"/>
        </w:numPr>
        <w:spacing w:line="278" w:lineRule="auto"/>
        <w:jc w:val="both"/>
      </w:pPr>
      <w:r>
        <w:t>Zewnętrzny kontroler z osobnymi dwoma pokrętłami do niezależnego przesuwu stolika w osi X i Y oraz do ruchu obiektywów w osi Z. Wszystkie pokrętła kontrolera mają regulowaną czułość obrotu.</w:t>
      </w:r>
    </w:p>
    <w:p w14:paraId="17E39598" w14:textId="77777777" w:rsidR="00DB179B" w:rsidRPr="00F534FC" w:rsidRDefault="00DB179B" w:rsidP="001D6C2D">
      <w:pPr>
        <w:pStyle w:val="Akapitzlist"/>
        <w:numPr>
          <w:ilvl w:val="1"/>
          <w:numId w:val="26"/>
        </w:numPr>
        <w:spacing w:line="278" w:lineRule="auto"/>
        <w:jc w:val="both"/>
      </w:pPr>
      <w:r w:rsidRPr="00F534FC">
        <w:t xml:space="preserve">Montowany na stoliku przedmiotowym uniwersalny uchwyt do mocowania mikroskopowych szkiełek podstawowych, szalek </w:t>
      </w:r>
      <w:proofErr w:type="spellStart"/>
      <w:r w:rsidRPr="00F534FC">
        <w:t>Petriego</w:t>
      </w:r>
      <w:proofErr w:type="spellEnd"/>
      <w:r w:rsidRPr="00F534FC">
        <w:t xml:space="preserve"> oraz uchwyt do płytek </w:t>
      </w:r>
      <w:proofErr w:type="spellStart"/>
      <w:r w:rsidRPr="00F534FC">
        <w:t>wielodołkowych</w:t>
      </w:r>
      <w:proofErr w:type="spellEnd"/>
    </w:p>
    <w:p w14:paraId="10EE952E" w14:textId="425B5729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Obiektywy o długości optycznej 45 mm (apertura numeryczna NA, dystans pracy WD) </w:t>
      </w:r>
      <w:r w:rsidRPr="00D50791">
        <w:t>- dopuszcza się rozwiązania o parametrach równoważnych lub lepszych od określonych poniżej</w:t>
      </w:r>
      <w:r>
        <w:t>:</w:t>
      </w:r>
    </w:p>
    <w:p w14:paraId="2BDDB897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Obiektyw </w:t>
      </w:r>
      <w:proofErr w:type="spellStart"/>
      <w:r>
        <w:t>PlanApochromatyczny</w:t>
      </w:r>
      <w:proofErr w:type="spellEnd"/>
      <w:r>
        <w:t xml:space="preserve"> 10x; NA 0,40; WD 2,5 mm, suchy</w:t>
      </w:r>
    </w:p>
    <w:p w14:paraId="540357CA" w14:textId="77777777" w:rsidR="00FE67E8" w:rsidRDefault="00DB179B" w:rsidP="00FE67E8">
      <w:pPr>
        <w:pStyle w:val="Akapitzlist"/>
        <w:numPr>
          <w:ilvl w:val="1"/>
          <w:numId w:val="25"/>
        </w:numPr>
        <w:spacing w:line="278" w:lineRule="auto"/>
        <w:ind w:left="360" w:hanging="76"/>
        <w:jc w:val="both"/>
      </w:pPr>
      <w:r>
        <w:t xml:space="preserve">Obiektyw </w:t>
      </w:r>
      <w:proofErr w:type="spellStart"/>
      <w:r>
        <w:t>SemiPlanApochromatyczny</w:t>
      </w:r>
      <w:proofErr w:type="spellEnd"/>
      <w:r>
        <w:t xml:space="preserve"> 25x; NA 0,95; WD 2,4 mm, z immersją wodną oraz wysoką transmisją (minimum 80%) w zakresie fal od 400 do 1300 </w:t>
      </w:r>
      <w:proofErr w:type="spellStart"/>
      <w:r>
        <w:t>nm</w:t>
      </w:r>
      <w:proofErr w:type="spellEnd"/>
    </w:p>
    <w:p w14:paraId="21401470" w14:textId="75979A32" w:rsidR="00DB179B" w:rsidRDefault="00DB179B" w:rsidP="00FE67E8">
      <w:pPr>
        <w:pStyle w:val="Akapitzlist"/>
        <w:numPr>
          <w:ilvl w:val="1"/>
          <w:numId w:val="25"/>
        </w:numPr>
        <w:spacing w:line="278" w:lineRule="auto"/>
        <w:ind w:left="709" w:hanging="425"/>
        <w:jc w:val="both"/>
      </w:pPr>
      <w:r>
        <w:t xml:space="preserve">Obiektyw </w:t>
      </w:r>
      <w:proofErr w:type="spellStart"/>
      <w:r>
        <w:t>PlanApochromatyczny</w:t>
      </w:r>
      <w:proofErr w:type="spellEnd"/>
      <w:r>
        <w:t xml:space="preserve"> 40x; NA 1,10; WD 0,6 mm z immersją wodną oraz wysoką transmisją (minimum 80%) w zakresie fal od 400 do 1300 </w:t>
      </w:r>
      <w:proofErr w:type="spellStart"/>
      <w:r>
        <w:t>nm</w:t>
      </w:r>
      <w:proofErr w:type="spellEnd"/>
      <w:r>
        <w:t>, z zmotoryzowanym pierścieniem korekcyjnym dopasowującym się do grubości szkiełka nakrywkowego w zakresie od 0,14 do 0,19 mm</w:t>
      </w:r>
    </w:p>
    <w:p w14:paraId="325CD7FE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lastRenderedPageBreak/>
        <w:t xml:space="preserve">Obiektyw </w:t>
      </w:r>
      <w:proofErr w:type="spellStart"/>
      <w:r>
        <w:t>PlanApochromatyczny</w:t>
      </w:r>
      <w:proofErr w:type="spellEnd"/>
      <w:r>
        <w:t xml:space="preserve"> 63x; NA 1,20; WD 0,3 mm z immersją wodną i z pierścieniem korekcyjnym dopasowujący się do grubości szkiełka nakrywkowego w zakresie od 0,14 do 0,18 mm</w:t>
      </w:r>
    </w:p>
    <w:p w14:paraId="2ED6F3CE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>Stół antywibracyjny z optycznym blatem wyposażonym w nagwintowane otwory w standardzie metrycznym oraz kompresor.</w:t>
      </w:r>
    </w:p>
    <w:p w14:paraId="0753F916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>Stół pod monitory i kontrolery do sterowania pracą mikroskopu i elementów modułu konfokalnego.</w:t>
      </w:r>
    </w:p>
    <w:p w14:paraId="3B876CE7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Moduł konfokalny </w:t>
      </w:r>
    </w:p>
    <w:p w14:paraId="55699E54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Skaner z 3 zwierciadłami skanującymi, zapewniający pole widzenia w płaszczyźnie pośredniej 22 mm, bez aberracji.</w:t>
      </w:r>
    </w:p>
    <w:p w14:paraId="4FEBD023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Przysłona konfokalna (</w:t>
      </w:r>
      <w:proofErr w:type="spellStart"/>
      <w:r>
        <w:t>pinhole</w:t>
      </w:r>
      <w:proofErr w:type="spellEnd"/>
      <w:r>
        <w:t xml:space="preserve">) płynnie regulowana w zakresie od 20 </w:t>
      </w:r>
      <w:proofErr w:type="spellStart"/>
      <w:r>
        <w:t>μm</w:t>
      </w:r>
      <w:proofErr w:type="spellEnd"/>
      <w:r>
        <w:t xml:space="preserve"> (dla zapewnienia najlepszej rozdzielczości) do 600 </w:t>
      </w:r>
      <w:proofErr w:type="spellStart"/>
      <w:r>
        <w:t>μm</w:t>
      </w:r>
      <w:proofErr w:type="spellEnd"/>
    </w:p>
    <w:p w14:paraId="249C9D77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Płynna regulacja prędkości skanowania w zakresie 1 - 2600 linii/s co 1 </w:t>
      </w:r>
      <w:proofErr w:type="spellStart"/>
      <w:r>
        <w:t>Hz</w:t>
      </w:r>
      <w:proofErr w:type="spellEnd"/>
      <w:r>
        <w:t>, do 5200 linii/s przy skanowaniu w obu kierunkach</w:t>
      </w:r>
    </w:p>
    <w:p w14:paraId="2751B466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Realna (bez przeplotu) prędkość skanowania 10 ramek/sekundę przy 512x512 pikseli oraz 210 ramek/sekundę przy 512x16 pikseli)</w:t>
      </w:r>
    </w:p>
    <w:p w14:paraId="0482828D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Maksymalny format obrazów cyfrowych przy stosowaniu skanera precyzyjnego 8192x8192pikseli.</w:t>
      </w:r>
    </w:p>
    <w:p w14:paraId="1DD7185E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Funkcja zatrzymywania wiązki skanera w 1 punkcie (bez skanowania) – m.in. dla zastosowania w </w:t>
      </w:r>
      <w:proofErr w:type="spellStart"/>
      <w:r>
        <w:t>fotoaktywacji</w:t>
      </w:r>
      <w:proofErr w:type="spellEnd"/>
      <w:r>
        <w:t xml:space="preserve">, </w:t>
      </w:r>
      <w:proofErr w:type="spellStart"/>
      <w:r>
        <w:t>fotowyświecania</w:t>
      </w:r>
      <w:proofErr w:type="spellEnd"/>
      <w:r>
        <w:t>, technikach FCS.</w:t>
      </w:r>
    </w:p>
    <w:p w14:paraId="5FCE8A04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Dodatkowy zoom na skanerze w zakresie od 0,75x do 48x</w:t>
      </w:r>
    </w:p>
    <w:p w14:paraId="11919A51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Dowolnie definiowany region skanowania</w:t>
      </w:r>
    </w:p>
    <w:p w14:paraId="19D9C741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Możliwość ustawienia zaawansowanych trybów skanowania: </w:t>
      </w:r>
      <w:proofErr w:type="spellStart"/>
      <w:r>
        <w:t>xyz</w:t>
      </w:r>
      <w:proofErr w:type="spellEnd"/>
      <w:r>
        <w:t xml:space="preserve">, </w:t>
      </w:r>
      <w:proofErr w:type="spellStart"/>
      <w:r>
        <w:t>xt</w:t>
      </w:r>
      <w:proofErr w:type="spellEnd"/>
      <w:r>
        <w:t xml:space="preserve">, </w:t>
      </w:r>
      <w:proofErr w:type="spellStart"/>
      <w:r>
        <w:t>xyt</w:t>
      </w:r>
      <w:proofErr w:type="spellEnd"/>
      <w:r>
        <w:t xml:space="preserve">, </w:t>
      </w:r>
      <w:proofErr w:type="spellStart"/>
      <w:r>
        <w:t>xyzt</w:t>
      </w:r>
      <w:proofErr w:type="spellEnd"/>
      <w:r>
        <w:t xml:space="preserve">, </w:t>
      </w:r>
      <w:proofErr w:type="spellStart"/>
      <w:r>
        <w:t>xyλ</w:t>
      </w:r>
      <w:proofErr w:type="spellEnd"/>
      <w:r>
        <w:t xml:space="preserve">, </w:t>
      </w:r>
      <w:proofErr w:type="spellStart"/>
      <w:r>
        <w:t>xyλt</w:t>
      </w:r>
      <w:proofErr w:type="spellEnd"/>
      <w:r>
        <w:t xml:space="preserve">, </w:t>
      </w:r>
      <w:proofErr w:type="spellStart"/>
      <w:r>
        <w:t>xyλz</w:t>
      </w:r>
      <w:proofErr w:type="spellEnd"/>
      <w:r>
        <w:t xml:space="preserve">, </w:t>
      </w:r>
      <w:proofErr w:type="spellStart"/>
      <w:r>
        <w:t>xyzλt</w:t>
      </w:r>
      <w:proofErr w:type="spellEnd"/>
      <w:r>
        <w:t xml:space="preserve"> (gdzie λ to skan spektralny - wzdłuż długości fali, a t – skan czasowy).</w:t>
      </w:r>
    </w:p>
    <w:p w14:paraId="52BDDA6F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3 wieloprzedziałowe detektory spektralne będące hybrydą: fotopowielacza oraz fotodiody lawinowej (</w:t>
      </w:r>
      <w:proofErr w:type="spellStart"/>
      <w:r>
        <w:t>Avalanche</w:t>
      </w:r>
      <w:proofErr w:type="spellEnd"/>
      <w:r>
        <w:t xml:space="preserve"> Photo </w:t>
      </w:r>
      <w:proofErr w:type="spellStart"/>
      <w:r>
        <w:t>Diode</w:t>
      </w:r>
      <w:proofErr w:type="spellEnd"/>
      <w:r>
        <w:t>), o zakresie detekcji 410-850nm o parametrach:</w:t>
      </w:r>
    </w:p>
    <w:p w14:paraId="5871BBA6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Regulacja szerokości pasma detekcji w zakresie od 5 </w:t>
      </w:r>
      <w:proofErr w:type="spellStart"/>
      <w:r>
        <w:t>nm</w:t>
      </w:r>
      <w:proofErr w:type="spellEnd"/>
      <w:r>
        <w:t xml:space="preserve"> do pełnego zakresu detekcji detektora spektralnego. Dokładność ustawień spektralnych detektorów: 1 nm.</w:t>
      </w:r>
    </w:p>
    <w:p w14:paraId="1E38BBA7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Każdy z detektorów ma możliwość zliczania pojedynczych fotonów (</w:t>
      </w:r>
      <w:proofErr w:type="spellStart"/>
      <w:r>
        <w:t>Photon</w:t>
      </w:r>
      <w:proofErr w:type="spellEnd"/>
      <w:r>
        <w:t xml:space="preserve"> </w:t>
      </w:r>
      <w:proofErr w:type="spellStart"/>
      <w:r w:rsidRPr="006C5AF9">
        <w:t>Counting</w:t>
      </w:r>
      <w:proofErr w:type="spellEnd"/>
      <w:r w:rsidRPr="006C5AF9">
        <w:t xml:space="preserve"> </w:t>
      </w:r>
      <w:proofErr w:type="spellStart"/>
      <w:r w:rsidRPr="006C5AF9">
        <w:t>Mode</w:t>
      </w:r>
      <w:proofErr w:type="spellEnd"/>
      <w:r w:rsidRPr="006C5AF9">
        <w:t>)</w:t>
      </w:r>
    </w:p>
    <w:p w14:paraId="0183C22D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6C5AF9">
        <w:t xml:space="preserve">Czułość detektorów: </w:t>
      </w:r>
      <w:r>
        <w:t xml:space="preserve">min. </w:t>
      </w:r>
      <w:r w:rsidRPr="006C5AF9">
        <w:t>58% PDE (</w:t>
      </w:r>
      <w:proofErr w:type="spellStart"/>
      <w:r w:rsidRPr="006C5AF9">
        <w:t>Photon</w:t>
      </w:r>
      <w:proofErr w:type="spellEnd"/>
      <w:r w:rsidRPr="006C5AF9">
        <w:t xml:space="preserve"> </w:t>
      </w:r>
      <w:proofErr w:type="spellStart"/>
      <w:r w:rsidRPr="006C5AF9">
        <w:t>Detection</w:t>
      </w:r>
      <w:proofErr w:type="spellEnd"/>
      <w:r w:rsidRPr="006C5AF9">
        <w:t xml:space="preserve"> </w:t>
      </w:r>
      <w:proofErr w:type="spellStart"/>
      <w:r w:rsidRPr="006C5AF9">
        <w:t>Efficiency</w:t>
      </w:r>
      <w:proofErr w:type="spellEnd"/>
      <w:r w:rsidRPr="006C5AF9">
        <w:t xml:space="preserve"> – całkowita </w:t>
      </w:r>
      <w:r>
        <w:t xml:space="preserve">efektywność detektora) przy dł. fali 500 </w:t>
      </w:r>
      <w:proofErr w:type="spellStart"/>
      <w:r>
        <w:t>nm</w:t>
      </w:r>
      <w:proofErr w:type="spellEnd"/>
    </w:p>
    <w:p w14:paraId="36BCD6EB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Możliwość jednoczesnej rejestracji obrazów na wszystkich zainstalowanych detektorach spektralnych</w:t>
      </w:r>
    </w:p>
    <w:p w14:paraId="058DD369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Możliwość do podłączenia równocześnie do 5 takich detektorów.</w:t>
      </w:r>
    </w:p>
    <w:p w14:paraId="2CF42083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Detektor światła przechodzącego TL PMT umożliwiający jednoczesną akwizycję obrazu wraz z detektorami spektralnymi fluorescencji.</w:t>
      </w:r>
    </w:p>
    <w:p w14:paraId="2C90125D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Moduł do obrazowania w wysokiej rozdzielczości o parametrach:</w:t>
      </w:r>
    </w:p>
    <w:p w14:paraId="2E1D4C48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Uzyskiwanie przy pomocy modułu rozdzielczości do 120 </w:t>
      </w:r>
      <w:proofErr w:type="spellStart"/>
      <w:r>
        <w:t>nm</w:t>
      </w:r>
      <w:proofErr w:type="spellEnd"/>
      <w:r>
        <w:t xml:space="preserve"> w płaszczyźnie XY oraz do 200 </w:t>
      </w:r>
      <w:proofErr w:type="spellStart"/>
      <w:r>
        <w:t>nm</w:t>
      </w:r>
      <w:proofErr w:type="spellEnd"/>
      <w:r>
        <w:t xml:space="preserve"> w osi Z.</w:t>
      </w:r>
    </w:p>
    <w:p w14:paraId="35043F79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Możliwość obrazowania w podwyższonej rozdzielczości na wszystkich zainstalowanych detektorach spektralnych jednocześnie.</w:t>
      </w:r>
    </w:p>
    <w:p w14:paraId="7F03CC36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lastRenderedPageBreak/>
        <w:t xml:space="preserve">Możliwa dodatkowa obróbka obrazu (np. adaptacyjna </w:t>
      </w:r>
      <w:proofErr w:type="spellStart"/>
      <w:r>
        <w:t>dekonwolucja</w:t>
      </w:r>
      <w:proofErr w:type="spellEnd"/>
      <w:r>
        <w:t xml:space="preserve"> 3D), z zachowaniem oryginalnego obrazu w osobnym pliku</w:t>
      </w:r>
    </w:p>
    <w:p w14:paraId="4FBE29DA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 Z</w:t>
      </w:r>
      <w:r w:rsidRPr="006722B1">
        <w:t>estaw</w:t>
      </w:r>
      <w:r>
        <w:t xml:space="preserve"> laserów do </w:t>
      </w:r>
      <w:proofErr w:type="spellStart"/>
      <w:r>
        <w:t>wzbudzeń</w:t>
      </w:r>
      <w:proofErr w:type="spellEnd"/>
      <w:r>
        <w:t xml:space="preserve"> jednofotonowych o parametrach:</w:t>
      </w:r>
    </w:p>
    <w:p w14:paraId="4D588250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405nm (moc 50mW)</w:t>
      </w:r>
    </w:p>
    <w:p w14:paraId="578C030A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488nm (moc 20mW)</w:t>
      </w:r>
    </w:p>
    <w:p w14:paraId="315D7784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561nm (moc 20mW)</w:t>
      </w:r>
    </w:p>
    <w:p w14:paraId="69BED778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638nm (moc 30mW)</w:t>
      </w:r>
    </w:p>
    <w:p w14:paraId="595D1299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  <w:rPr>
          <w:lang w:val="en-US"/>
        </w:rPr>
      </w:pPr>
      <w:proofErr w:type="spellStart"/>
      <w:r w:rsidRPr="003D058A">
        <w:rPr>
          <w:lang w:val="en-US"/>
        </w:rPr>
        <w:t>M</w:t>
      </w:r>
      <w:r>
        <w:rPr>
          <w:lang w:val="en-US"/>
        </w:rPr>
        <w:t>oduł</w:t>
      </w:r>
      <w:proofErr w:type="spellEnd"/>
      <w:r w:rsidRPr="003D058A">
        <w:rPr>
          <w:lang w:val="en-US"/>
        </w:rPr>
        <w:t xml:space="preserve"> C</w:t>
      </w:r>
      <w:r>
        <w:rPr>
          <w:lang w:val="en-US"/>
        </w:rPr>
        <w:t>A</w:t>
      </w:r>
      <w:r w:rsidRPr="003D058A">
        <w:rPr>
          <w:lang w:val="en-US"/>
        </w:rPr>
        <w:t>RS (Coherent Anti-Stokes Raman Scattering)</w:t>
      </w:r>
    </w:p>
    <w:p w14:paraId="629F6906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Moduł do detekcji fal o częstotliwościach </w:t>
      </w:r>
      <w:proofErr w:type="spellStart"/>
      <w:r>
        <w:t>Ramanowskich</w:t>
      </w:r>
      <w:proofErr w:type="spellEnd"/>
      <w:r>
        <w:t xml:space="preserve"> wzbudzanych laserem wielofotonowym.</w:t>
      </w:r>
    </w:p>
    <w:p w14:paraId="188CE52C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Laser </w:t>
      </w:r>
      <w:proofErr w:type="spellStart"/>
      <w:r>
        <w:t>pikosekundowy</w:t>
      </w:r>
      <w:proofErr w:type="spellEnd"/>
      <w:r>
        <w:t xml:space="preserve"> OPO (Optical </w:t>
      </w:r>
      <w:proofErr w:type="spellStart"/>
      <w:r>
        <w:t>Parametric</w:t>
      </w:r>
      <w:proofErr w:type="spellEnd"/>
      <w:r>
        <w:t xml:space="preserve"> </w:t>
      </w:r>
      <w:proofErr w:type="spellStart"/>
      <w:r>
        <w:t>Oscillator</w:t>
      </w:r>
      <w:proofErr w:type="spellEnd"/>
      <w:r>
        <w:t>) wraz z laserem pompującym zintegrowany w jednej obudowie.</w:t>
      </w:r>
    </w:p>
    <w:p w14:paraId="7040823A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Zakres przestrajania OPO: 700–990 </w:t>
      </w:r>
      <w:proofErr w:type="spellStart"/>
      <w:r>
        <w:t>nm</w:t>
      </w:r>
      <w:proofErr w:type="spellEnd"/>
      <w:r>
        <w:t xml:space="preserve">; długość fali pompującej 1031 </w:t>
      </w:r>
      <w:proofErr w:type="spellStart"/>
      <w:r>
        <w:t>nm</w:t>
      </w:r>
      <w:proofErr w:type="spellEnd"/>
    </w:p>
    <w:p w14:paraId="75D0E29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Czas trwania impulsu: ok. 2 ps.</w:t>
      </w:r>
    </w:p>
    <w:p w14:paraId="69913D2D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Układ chłodzony cieczą.</w:t>
      </w:r>
    </w:p>
    <w:p w14:paraId="03E4D978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Sterowanie w pełni programowe w środowisku oprogramowania sterującego mikroskopem konfokalnym</w:t>
      </w:r>
    </w:p>
    <w:p w14:paraId="7D777634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Zestaw czterech zewnętrznych detektorów NDD (Non-</w:t>
      </w:r>
      <w:proofErr w:type="spellStart"/>
      <w:r>
        <w:t>Descanned</w:t>
      </w:r>
      <w:proofErr w:type="spellEnd"/>
      <w:r>
        <w:t xml:space="preserve"> </w:t>
      </w:r>
      <w:proofErr w:type="spellStart"/>
      <w:r>
        <w:t>Detectors</w:t>
      </w:r>
      <w:proofErr w:type="spellEnd"/>
      <w:r>
        <w:t>) do detekcji światła odbitego z fluorescencji jak i z modułu CARS w konfiguracji obejmującej:</w:t>
      </w:r>
    </w:p>
    <w:p w14:paraId="6AFEB022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2 wysokoczułe detektory hybrydowe do detekcji fluorescencji, umożliwiające wielokanałową rejestrację sygnału. Detektory o wysokiej wydajności kwantowej (do ok. 45% przy 530 </w:t>
      </w:r>
      <w:proofErr w:type="spellStart"/>
      <w:r>
        <w:t>nm</w:t>
      </w:r>
      <w:proofErr w:type="spellEnd"/>
      <w:r>
        <w:t>), charakteryzujące się niskim poziomem szumów własnych oraz szerokim zakresem dynamicznym. Możliwość pracy w trybie zliczania fotonów, umożliwiająca identyfikację zdarzeń jedno-, dwu- i wielofotonowych (możliwość rozbudowy o techniki FLIM)</w:t>
      </w:r>
    </w:p>
    <w:p w14:paraId="47B8034F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2 dodatkowe detektory wyposażone w fotopowielacz (PMT) dla światła odbitego do detekcji sygnału z fluorescencji jak i z modułu CARS</w:t>
      </w:r>
    </w:p>
    <w:p w14:paraId="7963CA62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Detektor SRS (</w:t>
      </w:r>
      <w:proofErr w:type="spellStart"/>
      <w:r>
        <w:t>Stimulated</w:t>
      </w:r>
      <w:proofErr w:type="spellEnd"/>
      <w:r>
        <w:t xml:space="preserve"> </w:t>
      </w:r>
      <w:proofErr w:type="spellStart"/>
      <w:r>
        <w:t>Raman</w:t>
      </w:r>
      <w:proofErr w:type="spellEnd"/>
      <w:r>
        <w:t xml:space="preserve"> </w:t>
      </w:r>
      <w:proofErr w:type="spellStart"/>
      <w:r>
        <w:t>Scattering</w:t>
      </w:r>
      <w:proofErr w:type="spellEnd"/>
      <w:r>
        <w:t>), zintegrowany z mikroskopem, przeznaczony do detekcji sygnału w trybie transmisyjnym.</w:t>
      </w:r>
    </w:p>
    <w:p w14:paraId="045805E5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Wyposażony w układ Lock-In </w:t>
      </w:r>
      <w:proofErr w:type="spellStart"/>
      <w:r>
        <w:t>Amplifier</w:t>
      </w:r>
      <w:proofErr w:type="spellEnd"/>
      <w:r>
        <w:t xml:space="preserve"> umożliwiający selektywną detekcję sygnału modulowanego oraz poprawę stosunku sygnału do szumu.</w:t>
      </w:r>
    </w:p>
    <w:p w14:paraId="3FE6D212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Możliwość precyzyjnej detekcji nieliniowych sygnałów optycznych (SRS) w konfiguracji kompatybilnej z odwróconą platformą mikroskopową.</w:t>
      </w:r>
    </w:p>
    <w:p w14:paraId="1515D901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Oprogramowanie do obsługi modułu CARS z wbudowaną bazą danych z charakterystycznymi liczbami falowymi dla powszechnych wiązań chemicznych z zakresu pomiędzy 1200 cm</w:t>
      </w:r>
      <w:r w:rsidRPr="00E47ED6">
        <w:rPr>
          <w:vertAlign w:val="superscript"/>
        </w:rPr>
        <w:t>-1</w:t>
      </w:r>
      <w:r>
        <w:t xml:space="preserve"> a 3500 cm</w:t>
      </w:r>
      <w:r w:rsidRPr="00E47ED6">
        <w:rPr>
          <w:vertAlign w:val="superscript"/>
        </w:rPr>
        <w:t>-1</w:t>
      </w:r>
      <w:r>
        <w:t xml:space="preserve"> (m.in. benzeny, </w:t>
      </w:r>
      <w:proofErr w:type="spellStart"/>
      <w:r>
        <w:t>tiole</w:t>
      </w:r>
      <w:proofErr w:type="spellEnd"/>
      <w:r>
        <w:t>, n-alkany, aminy pierwszorzędowe), wraz z automatycznym przywoływaniem ustawień wzbudzenia i detekcji dla wizualizacji danych cząstek z bazy.</w:t>
      </w:r>
    </w:p>
    <w:p w14:paraId="0232B463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Zarówno laser wzbudzający jak i moduł do detekcji fal o częstotliwościach </w:t>
      </w:r>
      <w:proofErr w:type="spellStart"/>
      <w:r>
        <w:t>Ramanowskich</w:t>
      </w:r>
      <w:proofErr w:type="spellEnd"/>
      <w:r>
        <w:t xml:space="preserve"> obsługiwane przez to samo oprogramowanie co moduł konfokalny</w:t>
      </w:r>
    </w:p>
    <w:p w14:paraId="6E3EF634" w14:textId="77777777" w:rsidR="00DB179B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>
        <w:t>Stacja badawcza wraz z oprogramowaniem</w:t>
      </w:r>
    </w:p>
    <w:p w14:paraId="00782A99" w14:textId="77777777" w:rsidR="00DB179B" w:rsidRP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DB179B">
        <w:t xml:space="preserve">Stacja badawcza do sterowania pracą mikroskopu fluorescencyjnego odwróconego z modułem konfokalnym oraz modułem do wysokiej rozdzielczości i do zaawansowanej analizy danych, </w:t>
      </w:r>
      <w:r w:rsidRPr="00DB179B">
        <w:lastRenderedPageBreak/>
        <w:t>wyposażona we wszystkie elementy peryferyjne, okablowanie i akcesoria niezbędne do pracy systemu.</w:t>
      </w:r>
    </w:p>
    <w:p w14:paraId="1D06E3CF" w14:textId="77777777" w:rsidR="00DB179B" w:rsidRP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DB179B">
        <w:t xml:space="preserve">Stacja badawcza musi być fabrycznie nowa, kompletna, w pełni skonfigurowana i przygotowana do pracy z oferowanym systemem do obrazowania fluorescencyjnego i </w:t>
      </w:r>
      <w:proofErr w:type="spellStart"/>
      <w:r w:rsidRPr="00DB179B">
        <w:t>bezznakowego</w:t>
      </w:r>
      <w:proofErr w:type="spellEnd"/>
      <w:r w:rsidRPr="00DB179B">
        <w:t xml:space="preserve"> oraz z całym dostarczanym oprogramowaniem.</w:t>
      </w:r>
    </w:p>
    <w:p w14:paraId="2C5E46D5" w14:textId="77777777" w:rsidR="00DB179B" w:rsidRP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DB179B">
        <w:t>Parametry sprzętowe stacji badawczej, w szczególności procesor, pamięć operacyjna RAM, karta graficzna, przestrzeń dyskowa, interfejsy komunikacyjne oraz system operacyjny, muszą być zgodne z wymaganiami producenta aparatury i oprogramowania oraz zapewniać stabilną, płynną i bezpieczną pracę całego systemu.</w:t>
      </w:r>
    </w:p>
    <w:p w14:paraId="37D0150F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DB179B">
        <w:t>Konfiguracja stacji badawczej musi uwzględniać nie tylko aktualne wymagania dostarczanego oprogramowania, lecz również zapewniać odpowiedni zapas wydajności umożliwiający obsługę aktualizacji oraz kolejnych wersji oprogramowania producenta w okresie co najmniej 2 lat od daty instalacji systemu. Wykonawca zobowiązany jest dostarczyć stację badawczą o parametrach nie niższych niż rekomendowane przez producenta aparatury i oprogramowania dla pełnej funkcjonalności oferowanego systemu.</w:t>
      </w:r>
    </w:p>
    <w:p w14:paraId="44C4C112" w14:textId="77777777" w:rsidR="00DB179B" w:rsidRPr="00E94CA2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Całość</w:t>
      </w:r>
      <w:r w:rsidRPr="00DB179B">
        <w:t xml:space="preserve"> musi być w pełni kompatybilna z oferowanym oprogramowaniem, urządzeniami oraz </w:t>
      </w:r>
      <w:r w:rsidRPr="00E94CA2">
        <w:t>akcesoriami. Wykonawca odpowiada za prawidłową integrację stacji badawczej, urządzeń</w:t>
      </w:r>
      <w:r w:rsidRPr="00DB179B">
        <w:t xml:space="preserve"> peryferyjnych i oprogramowania z dostarczanym systemem oraz za zapewnienie ich poprawnego działania po instalacji. Kontroler z 6 pokrętłami i 6 ekranami LCD umożliwiający manualne sterowanie sześcioma wybranymi zmotoryzowanymi, zautomatyzowanymi funkcjami modułu konfokalnego</w:t>
      </w:r>
    </w:p>
    <w:p w14:paraId="4B2F9ED0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Oprogramowanie do wielowymiarowej akwizycji obrazów (X Y Z λ T) oraz obsługi modułu detekcji fal o częstotliwościach </w:t>
      </w:r>
      <w:proofErr w:type="spellStart"/>
      <w:r>
        <w:t>Ramanowskich</w:t>
      </w:r>
      <w:proofErr w:type="spellEnd"/>
    </w:p>
    <w:p w14:paraId="7CEC722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Proste programowanie akwizycji - wprowadzanie nowych </w:t>
      </w:r>
      <w:proofErr w:type="spellStart"/>
      <w:r>
        <w:t>barwień</w:t>
      </w:r>
      <w:proofErr w:type="spellEnd"/>
      <w:r>
        <w:t xml:space="preserve"> dla równoległego bądź sekwencyjnego skanowania techniką Drag and Drop (przeciąganie symbolu danego barwnika w pole detektora)</w:t>
      </w:r>
    </w:p>
    <w:p w14:paraId="15E3D47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Obróbka obrazu: podstawowe narzędzia graficzne, filtry morfologiczne i </w:t>
      </w:r>
      <w:proofErr w:type="spellStart"/>
      <w:r>
        <w:t>odszumiające</w:t>
      </w:r>
      <w:proofErr w:type="spellEnd"/>
    </w:p>
    <w:p w14:paraId="605A25E7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Analiza obrazu: podstawowe pomiary morfometryczne, pomiary intensywności (oznaczonego pola, stosu zdjęć, wzdłuż linii)</w:t>
      </w:r>
    </w:p>
    <w:p w14:paraId="7D6CFEDB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Narzędzia do dodawania adnotacji na obrazie: strzałki, linie, figury, opisy, łatwe numerowanie i ręczne zliczanie obiektów</w:t>
      </w:r>
    </w:p>
    <w:p w14:paraId="597A25FF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Oprogramowanie do adaptacyjnej </w:t>
      </w:r>
      <w:proofErr w:type="spellStart"/>
      <w:r>
        <w:t>dekonwolucji</w:t>
      </w:r>
      <w:proofErr w:type="spellEnd"/>
      <w:r>
        <w:t xml:space="preserve"> obrazu 3D</w:t>
      </w:r>
    </w:p>
    <w:p w14:paraId="3E108D0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Optymalne zarządzanie dużymi plikami. Możliwość eksportu dowolnie wybranych zdjęć za pomocą jednej komendy do formatów graficznych: TIFF, JPG, BMP, PNG; formatów filmowych AVI, MPEG4 oraz formatów tekstowych ASCII. Możliwość automatycznego dodawania na zdjęciu skali, czasu wykonania zdjęcia (zarówno rzeczywistego jak i od momentu rozpoczęcia eksperymentu) oraz pozycji (np. w osi Z) z której wykonano zdjęcie.</w:t>
      </w:r>
    </w:p>
    <w:p w14:paraId="1BFEA31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Automatyczne zapamiętywanie i odtwarzanie zapisanych eksperymentów z pliku</w:t>
      </w:r>
    </w:p>
    <w:p w14:paraId="12C2FAD4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Oprogramowanie do sterowania pracą stolika skanującego, posiadające:</w:t>
      </w:r>
    </w:p>
    <w:p w14:paraId="5D1D5235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Tworzenie obrazu poglądowego preparatu za pomocą skanu spiralnego (skan wokół zaznaczonego miejsca na preparacie)</w:t>
      </w:r>
    </w:p>
    <w:p w14:paraId="48E7A820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Funkcja obrazowania obiektów większych niż pole widzenia obiektywu mikroskopu – wykonywanie skanu mozaikowego za pomocą stolika skanującego</w:t>
      </w:r>
    </w:p>
    <w:p w14:paraId="7A29AA8A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lastRenderedPageBreak/>
        <w:t>Funkcja rozpoznawania wybarwionego miejsca (preparatu) na szkiełku mikroskopowym, naczyniu hodowlanym - zaznaczanie oraz skanowanie obiektu o dowolnym kształcie (z pominięciem pustych miejsc)</w:t>
      </w:r>
    </w:p>
    <w:p w14:paraId="2B8064F3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Możliwość zaprogramowania nieograniczonej liczby skanów mozaikowych na preparacie</w:t>
      </w:r>
    </w:p>
    <w:p w14:paraId="77AD78A5" w14:textId="77777777" w:rsidR="00DB179B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>
        <w:t>Oprogramowanie do tworzenia wizualizacji i rekonstrukcji obiektów 3D:</w:t>
      </w:r>
    </w:p>
    <w:p w14:paraId="54FA3EE3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Dostępne tryby projekcji: transparentna, maksymalna intensywność, kodowanie kolorystyczne głębi i projekcja z cieniami</w:t>
      </w:r>
    </w:p>
    <w:p w14:paraId="1F4B6881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Kompleksowe generowanie animacji 3D - tworzenie plików filmowych w formatach </w:t>
      </w:r>
      <w:proofErr w:type="spellStart"/>
      <w:r>
        <w:t>avi</w:t>
      </w:r>
      <w:proofErr w:type="spellEnd"/>
      <w:r>
        <w:t xml:space="preserve">, mpeg4, </w:t>
      </w:r>
      <w:proofErr w:type="spellStart"/>
      <w:r>
        <w:t>wmv</w:t>
      </w:r>
      <w:proofErr w:type="spellEnd"/>
    </w:p>
    <w:p w14:paraId="2AF4CEC4" w14:textId="77777777" w:rsidR="00DB179B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>
        <w:t>Możliwość tworzenia dowolnych przekrojów przez rekonstrukcję 3D, również niezależnie dla poszczególnych kanałów</w:t>
      </w:r>
    </w:p>
    <w:p w14:paraId="0CAD0DFF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>
        <w:t xml:space="preserve">Możliwość tworzenia obrazów stereo (dla monitorów lub okularów trójwymiarowych) z algorytmami min.: </w:t>
      </w:r>
      <w:proofErr w:type="spellStart"/>
      <w:r>
        <w:t>cyan</w:t>
      </w:r>
      <w:proofErr w:type="spellEnd"/>
      <w:r>
        <w:t>/</w:t>
      </w:r>
      <w:proofErr w:type="spellStart"/>
      <w:r>
        <w:t>magenta</w:t>
      </w:r>
      <w:proofErr w:type="spellEnd"/>
      <w:r>
        <w:t xml:space="preserve">; </w:t>
      </w:r>
      <w:proofErr w:type="spellStart"/>
      <w:r>
        <w:t>horizontal</w:t>
      </w:r>
      <w:proofErr w:type="spellEnd"/>
      <w:r>
        <w:t xml:space="preserve"> i </w:t>
      </w:r>
      <w:proofErr w:type="spellStart"/>
      <w:r w:rsidRPr="002E6099">
        <w:rPr>
          <w:color w:val="000000" w:themeColor="text1"/>
        </w:rPr>
        <w:t>vertical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shutter</w:t>
      </w:r>
      <w:proofErr w:type="spellEnd"/>
      <w:r w:rsidRPr="002E6099">
        <w:rPr>
          <w:color w:val="000000" w:themeColor="text1"/>
        </w:rPr>
        <w:t>, quad-</w:t>
      </w:r>
      <w:proofErr w:type="spellStart"/>
      <w:r w:rsidRPr="002E6099">
        <w:rPr>
          <w:color w:val="000000" w:themeColor="text1"/>
        </w:rPr>
        <w:t>based</w:t>
      </w:r>
      <w:proofErr w:type="spellEnd"/>
    </w:p>
    <w:p w14:paraId="65FEAC7A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Oprogramowanie do prowadzenia eksperymentów FRAP (</w:t>
      </w:r>
      <w:proofErr w:type="spellStart"/>
      <w:r w:rsidRPr="002E6099">
        <w:rPr>
          <w:color w:val="000000" w:themeColor="text1"/>
        </w:rPr>
        <w:t>Fluorescence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Recovery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After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Photobleaching</w:t>
      </w:r>
      <w:proofErr w:type="spellEnd"/>
      <w:r w:rsidRPr="002E6099">
        <w:rPr>
          <w:color w:val="000000" w:themeColor="text1"/>
        </w:rPr>
        <w:t xml:space="preserve">) oraz FRET (Forster </w:t>
      </w:r>
      <w:proofErr w:type="spellStart"/>
      <w:r w:rsidRPr="002E6099">
        <w:rPr>
          <w:color w:val="000000" w:themeColor="text1"/>
        </w:rPr>
        <w:t>Resonance</w:t>
      </w:r>
      <w:proofErr w:type="spellEnd"/>
      <w:r w:rsidRPr="002E6099">
        <w:rPr>
          <w:color w:val="000000" w:themeColor="text1"/>
        </w:rPr>
        <w:t xml:space="preserve"> Energy Transfer) wyposażone w intuicyjne kreatory eksperymentalne i analityczne.</w:t>
      </w:r>
    </w:p>
    <w:p w14:paraId="762BB10A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Możliwość realizacji eksperymentów FRAP w trybie 2D oraz 3D (</w:t>
      </w:r>
      <w:proofErr w:type="spellStart"/>
      <w:r w:rsidRPr="002E6099">
        <w:rPr>
          <w:color w:val="000000" w:themeColor="text1"/>
        </w:rPr>
        <w:t>xyzt</w:t>
      </w:r>
      <w:proofErr w:type="spellEnd"/>
      <w:r w:rsidRPr="002E6099">
        <w:rPr>
          <w:color w:val="000000" w:themeColor="text1"/>
        </w:rPr>
        <w:t>), z funkcją szybkiej rejestracji powrotu fluorescencji oraz analizą online i offline.</w:t>
      </w:r>
    </w:p>
    <w:p w14:paraId="0533BBFB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Moduły FRET typu </w:t>
      </w:r>
      <w:proofErr w:type="spellStart"/>
      <w:r w:rsidRPr="002E6099">
        <w:rPr>
          <w:color w:val="000000" w:themeColor="text1"/>
        </w:rPr>
        <w:t>Acceptor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Photobleaching</w:t>
      </w:r>
      <w:proofErr w:type="spellEnd"/>
      <w:r w:rsidRPr="002E6099">
        <w:rPr>
          <w:color w:val="000000" w:themeColor="text1"/>
        </w:rPr>
        <w:t xml:space="preserve"> oraz </w:t>
      </w:r>
      <w:proofErr w:type="spellStart"/>
      <w:r w:rsidRPr="002E6099">
        <w:rPr>
          <w:color w:val="000000" w:themeColor="text1"/>
        </w:rPr>
        <w:t>Sensitized</w:t>
      </w:r>
      <w:proofErr w:type="spellEnd"/>
      <w:r w:rsidRPr="002E6099">
        <w:rPr>
          <w:color w:val="000000" w:themeColor="text1"/>
        </w:rPr>
        <w:t xml:space="preserve"> </w:t>
      </w:r>
      <w:proofErr w:type="spellStart"/>
      <w:r w:rsidRPr="002E6099">
        <w:rPr>
          <w:color w:val="000000" w:themeColor="text1"/>
        </w:rPr>
        <w:t>Emission</w:t>
      </w:r>
      <w:proofErr w:type="spellEnd"/>
      <w:r w:rsidRPr="002E6099">
        <w:rPr>
          <w:color w:val="000000" w:themeColor="text1"/>
        </w:rPr>
        <w:t xml:space="preserve"> umożliwiające wyznaczanie wydajności FRET z korekcją tła</w:t>
      </w:r>
    </w:p>
    <w:p w14:paraId="2CBF3CAA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Wizualizacja wyników w postaci map efektywności FRET oraz możliwość analizy w zdefiniowanych regionach obrazu</w:t>
      </w:r>
    </w:p>
    <w:p w14:paraId="3F870D3D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Oprogramowanie do separacji i rozdzielania sygnałów spektralnych fluorescencji oraz sygnałów </w:t>
      </w:r>
      <w:proofErr w:type="spellStart"/>
      <w:r w:rsidRPr="002E6099">
        <w:rPr>
          <w:color w:val="000000" w:themeColor="text1"/>
        </w:rPr>
        <w:t>Ramanowskich</w:t>
      </w:r>
      <w:proofErr w:type="spellEnd"/>
    </w:p>
    <w:p w14:paraId="3B13C1F0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Obsługa pracy w trybie automatycznym, kanałowym oraz pełnej analizy spektralnej.</w:t>
      </w:r>
    </w:p>
    <w:p w14:paraId="0003F9CB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Możliwość prowadzenia separacji widmowej sygnałów w czasie rzeczywistym podczas akwizycji obrazu.</w:t>
      </w:r>
    </w:p>
    <w:p w14:paraId="33929FE9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Umożliwia rozdzielanie nakładających się sygnałów optycznych w eksperymentach wielokanałowych oraz obrazowaniu CARS</w:t>
      </w:r>
    </w:p>
    <w:p w14:paraId="1B0D8C35" w14:textId="77777777" w:rsidR="00DB179B" w:rsidRPr="00E52041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</w:pPr>
      <w:r w:rsidRPr="002E6099">
        <w:rPr>
          <w:color w:val="000000" w:themeColor="text1"/>
        </w:rPr>
        <w:t xml:space="preserve">W związku z realizacją wskaźnika środowiskowego projektu oraz zasadą </w:t>
      </w:r>
      <w:proofErr w:type="spellStart"/>
      <w:r w:rsidRPr="002E6099">
        <w:rPr>
          <w:color w:val="000000" w:themeColor="text1"/>
        </w:rPr>
        <w:t>Rethink</w:t>
      </w:r>
      <w:proofErr w:type="spellEnd"/>
      <w:r w:rsidRPr="002E6099">
        <w:rPr>
          <w:color w:val="000000" w:themeColor="text1"/>
        </w:rPr>
        <w:t xml:space="preserve"> Zamawiający wymaga, aby oferowany System spełniał minimalne wymagania środowiskowe i eksploatacyjne dotyczące efektywności energetycznej, trybu ograniczonego poboru energii, serwisowalności, </w:t>
      </w:r>
      <w:r w:rsidRPr="00E52041">
        <w:t xml:space="preserve">modularności oraz ograniczenia odpadów opakowaniowych poprzez: </w:t>
      </w:r>
    </w:p>
    <w:p w14:paraId="71C89765" w14:textId="77777777" w:rsidR="00DB179B" w:rsidRPr="00E52041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52041">
        <w:t>System zarządzania środowiskowego</w:t>
      </w:r>
    </w:p>
    <w:p w14:paraId="7D88E57F" w14:textId="18363419" w:rsidR="00B21736" w:rsidRPr="00E52041" w:rsidRDefault="00B21736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52041">
        <w:t xml:space="preserve">Wyprodukowanie sprzętu w myśl </w:t>
      </w:r>
      <w:r w:rsidR="00E52041" w:rsidRPr="00E52041">
        <w:t xml:space="preserve">systemu </w:t>
      </w:r>
      <w:r w:rsidRPr="00E52041">
        <w:t xml:space="preserve">zarządzania </w:t>
      </w:r>
      <w:r w:rsidR="00E52041" w:rsidRPr="00E52041">
        <w:t>środowiskowego</w:t>
      </w:r>
      <w:r w:rsidRPr="00E52041">
        <w:t xml:space="preserve"> potwierdzone spełnieniem norm ISO 14001 wystawione przez odpowiednią jednostkę oceniającą w rozumieniu ustawy </w:t>
      </w:r>
      <w:proofErr w:type="spellStart"/>
      <w:r w:rsidRPr="00E52041">
        <w:t>Pzp</w:t>
      </w:r>
      <w:proofErr w:type="spellEnd"/>
      <w:r w:rsidRPr="00E52041">
        <w:t xml:space="preserve">  </w:t>
      </w:r>
      <w:r w:rsidR="004E1AB8" w:rsidRPr="00E52041">
        <w:t>lub innym dokumentem równoważnym, potwierdzającym wdrożenie i stosowanie systemu zarządzania środowiskowego spełniającego wymagania równoważne do normy ISO 14001</w:t>
      </w:r>
    </w:p>
    <w:p w14:paraId="5602BA8D" w14:textId="33CA90AE" w:rsidR="00B21736" w:rsidRPr="00E52041" w:rsidRDefault="004B6171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52041">
        <w:t>Na potwierdzenie z pkt i) wykonawca zobowiąza</w:t>
      </w:r>
      <w:r w:rsidR="00E52041" w:rsidRPr="00E52041">
        <w:t>n</w:t>
      </w:r>
      <w:r w:rsidRPr="00E52041">
        <w:t xml:space="preserve">y jest załączyć do oferty </w:t>
      </w:r>
      <w:r w:rsidR="00B21736" w:rsidRPr="00E52041">
        <w:t xml:space="preserve">Certyfikat ISO 14001 </w:t>
      </w:r>
      <w:r w:rsidRPr="00E52041">
        <w:t>lub wskazać w fo</w:t>
      </w:r>
      <w:r w:rsidR="00E52041" w:rsidRPr="00E52041">
        <w:t>r</w:t>
      </w:r>
      <w:r w:rsidRPr="00E52041">
        <w:t>mularzu ofert</w:t>
      </w:r>
      <w:r w:rsidR="00E52041" w:rsidRPr="00E52041">
        <w:t>owym</w:t>
      </w:r>
      <w:r w:rsidRPr="00E52041">
        <w:t xml:space="preserve"> </w:t>
      </w:r>
      <w:r w:rsidR="00E52041" w:rsidRPr="00E52041">
        <w:t>oficjalne strony www producenta sprzętu</w:t>
      </w:r>
      <w:r w:rsidR="00E52041" w:rsidRPr="00E52041">
        <w:t xml:space="preserve"> </w:t>
      </w:r>
      <w:r w:rsidRPr="00E52041">
        <w:t xml:space="preserve">gdzie certyfikat jest </w:t>
      </w:r>
      <w:r w:rsidR="00B21736" w:rsidRPr="00E52041">
        <w:t xml:space="preserve">możliwy do obejrzenia/pobrania </w:t>
      </w:r>
    </w:p>
    <w:p w14:paraId="1E5EEBC8" w14:textId="102940E0" w:rsidR="004E1AB8" w:rsidRPr="002E6099" w:rsidRDefault="004E1AB8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lastRenderedPageBreak/>
        <w:t>Certyfikat ISO 14001 musi być wystawiony dla każdego producenta sprzętu oferowanego przez wykonawcę wskazanego w formularzu cenowym. Za producenta uznaje się każda osobę fizyczną lub prawną albo jednostkę organizacyjną nie posiadającą osobowości prawnej dla której ten wyrób zaprojektowano lub wytworzono, w celu wprowadzenia go do obrotu lub oddania do użytku pod własną nazwą lub znakiem.</w:t>
      </w:r>
    </w:p>
    <w:p w14:paraId="377BEC65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Ograniczenie zużycia energii</w:t>
      </w:r>
    </w:p>
    <w:p w14:paraId="2828C053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Oferowany system musi umożliwiać ograniczenie zużycia energii w okresach nieaktywności, w szczególności poprzez tryb stand-by / tryb uśpienia / procedurę bezpiecznego ograniczenia poboru energii dla odpowiednich elementów systemu, w tym laserów oraz stacji badawczej. </w:t>
      </w:r>
    </w:p>
    <w:p w14:paraId="3E66FDA1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Serwisowalność</w:t>
      </w:r>
    </w:p>
    <w:p w14:paraId="101CDC4A" w14:textId="2BC3D6F5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2E6099">
        <w:rPr>
          <w:color w:val="000000" w:themeColor="text1"/>
        </w:rPr>
        <w:t xml:space="preserve">Oferowany system musi być objęty gwarancją minimum 24 miesiące. Wykonawca zapewni dostępność części zamiennych, materiałów eksploatacyjnych i wsparcia serwisowego przez minimum </w:t>
      </w:r>
      <w:r w:rsidR="00E94CA2" w:rsidRPr="002E6099">
        <w:rPr>
          <w:color w:val="000000" w:themeColor="text1"/>
        </w:rPr>
        <w:t>10</w:t>
      </w:r>
      <w:r w:rsidRPr="002E6099">
        <w:rPr>
          <w:color w:val="000000" w:themeColor="text1"/>
        </w:rPr>
        <w:t xml:space="preserve"> lat od odbioru </w:t>
      </w:r>
      <w:r w:rsidRPr="00E94CA2">
        <w:t xml:space="preserve">systemu. </w:t>
      </w:r>
    </w:p>
    <w:p w14:paraId="3E3BAB58" w14:textId="77777777" w:rsidR="00DB179B" w:rsidRPr="00E94CA2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Modularność i możliwość rozbudowy</w:t>
      </w:r>
    </w:p>
    <w:p w14:paraId="12292C1C" w14:textId="77777777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 xml:space="preserve">Oferowany system powinien umożliwiać rozbudowę lub wymianę wybranych modułów funkcjonalnych bez konieczności wymiany całego systemu, np. laserów, detektorów, dodatkowych modułów obrazowania, oprogramowania lub stacji badawczej. </w:t>
      </w:r>
    </w:p>
    <w:p w14:paraId="508DD92E" w14:textId="77777777" w:rsidR="00DB179B" w:rsidRPr="00E94CA2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Opakowania nadające się do recyklingu</w:t>
      </w:r>
    </w:p>
    <w:p w14:paraId="6CD19D97" w14:textId="77777777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>Wykonawca zadeklaruje, że dostarczy urządzenie w opakowaniach nadających się do recyklingu w możliwie największym zakresie, nie mniejszym niż 75% masy opakowań, z wyłączeniem elementów, których zastosowanie jest niezbędne ze względów bezpieczeństwa transportu aparatury.</w:t>
      </w:r>
    </w:p>
    <w:p w14:paraId="0FA22A89" w14:textId="77777777" w:rsidR="00E94CA2" w:rsidRDefault="00E94CA2" w:rsidP="001D6C2D">
      <w:pPr>
        <w:ind w:left="720"/>
        <w:contextualSpacing/>
        <w:jc w:val="both"/>
        <w:rPr>
          <w:rFonts w:ascii="Arial" w:eastAsia="Aptos" w:hAnsi="Arial" w:cs="Arial"/>
          <w:b/>
          <w:bCs/>
        </w:rPr>
      </w:pPr>
    </w:p>
    <w:p w14:paraId="24B44087" w14:textId="39BFD6DA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Instalacja i serwis</w:t>
      </w:r>
    </w:p>
    <w:p w14:paraId="321C3B42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</w:p>
    <w:p w14:paraId="001A2002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Instruktaż stanowiskowy</w:t>
      </w:r>
      <w:r w:rsidRPr="00E94CA2">
        <w:rPr>
          <w:rFonts w:eastAsia="Aptos" w:cstheme="minorHAnsi"/>
        </w:rPr>
        <w:t xml:space="preserve"> operacyjny i aplikacyjny przeprowadzone przez specjalistę/inżyniera serwisu przeprowadzone po instalacji Urządzenia. Zaawansowany instruktaż aplikacyjny przeprowadzony przez specjalistę aplikacyjnego w wybranym przez Zamawiającego terminie. Wsparcie aplikacyjne przez cały okres używania systemu.</w:t>
      </w:r>
    </w:p>
    <w:p w14:paraId="054A95B7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</w:p>
    <w:p w14:paraId="195E4EAC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Serwis, naprawy gwarancyjne</w:t>
      </w:r>
    </w:p>
    <w:p w14:paraId="6D127D6A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Serwis gwarancyjny</w:t>
      </w:r>
      <w:r w:rsidRPr="00E94CA2">
        <w:rPr>
          <w:rFonts w:eastAsia="Aptos" w:cstheme="minorHAnsi"/>
        </w:rPr>
        <w:t xml:space="preserve"> w miejscu użytkowania urządzeń realizowany za pośrednictwem Wykonawcy. W przypadku konieczności naprawy poza siedzibą Zamawiającego koszty demontażu, ponownej instalacji i transportu urządzeń oraz ryzyko utraty lub uszkodzenia urządzeń ponosi Wykonawca.</w:t>
      </w:r>
    </w:p>
    <w:p w14:paraId="796246B0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Gwarancja realizowana będzie w miejscu instalacji sprzętu. Czas reakcji: do 48 godzin od przekazania zgłoszenia przez Zamawiającego.</w:t>
      </w:r>
    </w:p>
    <w:p w14:paraId="4A3EBF74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Czas naprawy od momentu zgłoszenia:</w:t>
      </w:r>
    </w:p>
    <w:p w14:paraId="6443A62C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a) do 14 dni od dnia przekazania zgłoszenia przez Zamawiającego w przypadku napraw niewymagających sprowadzenia specjalistycznych części zza granicy,</w:t>
      </w:r>
    </w:p>
    <w:p w14:paraId="124AC871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b) do 4 tygodni od dnia przekazania zgłoszenia przez Zamawiającego w przypadku napraw wymagających sprowadzenia specjalistycznych części zza granicy.</w:t>
      </w:r>
    </w:p>
    <w:p w14:paraId="59F86473" w14:textId="77777777" w:rsidR="00DB179B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lastRenderedPageBreak/>
        <w:t>Wszelkie informacje dotyczące gwarancji i zgłaszania awarii będą zawarte w karcie  gwarancyjnej dostarczonej Zamawiającemu.</w:t>
      </w:r>
    </w:p>
    <w:p w14:paraId="6423C9B9" w14:textId="77777777" w:rsidR="00D83465" w:rsidRPr="00E94CA2" w:rsidRDefault="00D83465" w:rsidP="001D6C2D">
      <w:pPr>
        <w:ind w:left="720"/>
        <w:contextualSpacing/>
        <w:jc w:val="both"/>
        <w:rPr>
          <w:rFonts w:eastAsia="Aptos" w:cstheme="minorHAnsi"/>
        </w:rPr>
      </w:pPr>
    </w:p>
    <w:p w14:paraId="3D85CE38" w14:textId="77777777" w:rsidR="00D83465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Gwarancja</w:t>
      </w:r>
    </w:p>
    <w:p w14:paraId="11B0DA0B" w14:textId="6DD5C8D0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</w:rPr>
        <w:t>Minimalny okres gwarancji - 24 miesięcy od dnia podpisania protokołu zdawczo –odbiorczego</w:t>
      </w:r>
    </w:p>
    <w:p w14:paraId="32FDE06C" w14:textId="77777777" w:rsidR="00E94CA2" w:rsidRDefault="00E94CA2" w:rsidP="001D6C2D">
      <w:pPr>
        <w:ind w:left="720"/>
        <w:contextualSpacing/>
        <w:jc w:val="both"/>
        <w:rPr>
          <w:rFonts w:eastAsia="Aptos" w:cstheme="minorHAnsi"/>
          <w:b/>
          <w:bCs/>
        </w:rPr>
      </w:pPr>
    </w:p>
    <w:p w14:paraId="660E71C0" w14:textId="77777777" w:rsidR="00D83465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Instalacja</w:t>
      </w:r>
    </w:p>
    <w:p w14:paraId="48A98E65" w14:textId="06181C9D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Koszty transportu i instalacji pokrywa Wykonawca. Wykonawca zapewnia wykonanie przez autoryzowany serwis wszystkich wymaganych (opisanych w specyfikacji/dokumentacji technicznej) przeglądów/kalibracji/ adjustacji/sprawdzeń:</w:t>
      </w:r>
    </w:p>
    <w:p w14:paraId="2BC88D96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- po instalacji systemu</w:t>
      </w:r>
    </w:p>
    <w:p w14:paraId="47EC859D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- po 24 miesiącach od zainstalowania systemu (w okresie trwania gwarancji)</w:t>
      </w:r>
    </w:p>
    <w:p w14:paraId="57CEB4DF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>- po każdym zgłoszeniu Użytkownika, w przypadku zauważenia nieprawidłowej pracy systemu w okresie gwarancyjnym</w:t>
      </w:r>
    </w:p>
    <w:p w14:paraId="2FFDAAE0" w14:textId="77777777" w:rsidR="00DB179B" w:rsidRPr="00E94CA2" w:rsidRDefault="00DB179B" w:rsidP="001D6C2D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1912160" w14:textId="77777777" w:rsidR="00DB179B" w:rsidRPr="00E94CA2" w:rsidRDefault="00DB179B" w:rsidP="001D6C2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lang w:eastAsia="pl-PL"/>
        </w:rPr>
        <w:t xml:space="preserve">Termin realizacji zamówienia do 22 tygodni </w:t>
      </w:r>
    </w:p>
    <w:p w14:paraId="5A4DDF18" w14:textId="77777777" w:rsidR="00E94CA2" w:rsidRDefault="00E94CA2" w:rsidP="00DB179B">
      <w:pPr>
        <w:rPr>
          <w:rFonts w:cstheme="minorHAnsi"/>
          <w:b/>
        </w:rPr>
      </w:pPr>
    </w:p>
    <w:p w14:paraId="2EC64D56" w14:textId="50976015" w:rsidR="00DB179B" w:rsidRPr="00E94CA2" w:rsidRDefault="00E94CA2" w:rsidP="00DB179B">
      <w:pPr>
        <w:rPr>
          <w:rFonts w:cstheme="minorHAnsi"/>
          <w:b/>
        </w:rPr>
      </w:pPr>
      <w:r>
        <w:rPr>
          <w:rFonts w:cstheme="minorHAnsi"/>
          <w:b/>
        </w:rPr>
        <w:t>K</w:t>
      </w:r>
      <w:r w:rsidR="00DB179B" w:rsidRPr="00E94CA2">
        <w:rPr>
          <w:rFonts w:cstheme="minorHAnsi"/>
          <w:b/>
        </w:rPr>
        <w:t>ryteria oceny ofert</w:t>
      </w:r>
    </w:p>
    <w:tbl>
      <w:tblPr>
        <w:tblStyle w:val="TableNormal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179B" w:rsidRPr="00E94CA2" w14:paraId="77111C6C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09"/>
            </w:tblGrid>
            <w:tr w:rsidR="00DB179B" w:rsidRPr="00E94CA2" w14:paraId="54266D4C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9195A4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</w:tr>
          </w:tbl>
          <w:p w14:paraId="613BE9B4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4"/>
              <w:gridCol w:w="596"/>
            </w:tblGrid>
            <w:tr w:rsidR="00DB179B" w:rsidRPr="00E94CA2" w14:paraId="7047C7F4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818A36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A02211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E94CA2">
                    <w:rPr>
                      <w:rFonts w:cstheme="minorHAnsi"/>
                      <w:b/>
                      <w:bCs/>
                    </w:rPr>
                    <w:t>Waga</w:t>
                  </w:r>
                </w:p>
              </w:tc>
            </w:tr>
          </w:tbl>
          <w:p w14:paraId="0CCEDD6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5397EFB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9"/>
            </w:tblGrid>
            <w:tr w:rsidR="00DB179B" w:rsidRPr="00E94CA2" w14:paraId="4A42DB3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7C512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 xml:space="preserve">Cena </w:t>
                  </w:r>
                  <w:proofErr w:type="spellStart"/>
                  <w:r w:rsidRPr="00E94CA2">
                    <w:rPr>
                      <w:rFonts w:cstheme="minorHAnsi"/>
                    </w:rPr>
                    <w:t>brutto</w:t>
                  </w:r>
                  <w:proofErr w:type="spellEnd"/>
                </w:p>
              </w:tc>
            </w:tr>
          </w:tbl>
          <w:p w14:paraId="01E11C8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764AD33F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106CC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2A63F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60%</w:t>
                  </w:r>
                </w:p>
              </w:tc>
            </w:tr>
          </w:tbl>
          <w:p w14:paraId="2F971F4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6885A38B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2"/>
            </w:tblGrid>
            <w:tr w:rsidR="00DB179B" w:rsidRPr="00E94CA2" w14:paraId="68CC2967" w14:textId="77777777" w:rsidTr="00F57EAA">
              <w:trPr>
                <w:tblCellSpacing w:w="15" w:type="dxa"/>
              </w:trPr>
              <w:tc>
                <w:tcPr>
                  <w:tcW w:w="2442" w:type="dxa"/>
                  <w:vAlign w:val="center"/>
                  <w:hideMark/>
                </w:tcPr>
                <w:p w14:paraId="06D3075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Parametry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techniczno-analityczne</w:t>
                  </w:r>
                  <w:proofErr w:type="spellEnd"/>
                </w:p>
              </w:tc>
            </w:tr>
          </w:tbl>
          <w:p w14:paraId="7B5D4E1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3D3CB8F0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8A14AF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48644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25%</w:t>
                  </w:r>
                </w:p>
              </w:tc>
            </w:tr>
          </w:tbl>
          <w:p w14:paraId="5D8F964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3250A86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75"/>
              <w:gridCol w:w="456"/>
            </w:tblGrid>
            <w:tr w:rsidR="00DB179B" w:rsidRPr="00E94CA2" w14:paraId="22ECCC2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E005B4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Zielone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kryteria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środowiskowo-eksploatacyjne</w:t>
                  </w:r>
                  <w:proofErr w:type="spellEnd"/>
                </w:p>
              </w:tc>
              <w:tc>
                <w:tcPr>
                  <w:tcW w:w="411" w:type="dxa"/>
                  <w:vAlign w:val="center"/>
                  <w:hideMark/>
                </w:tcPr>
                <w:p w14:paraId="5247AE0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71613DD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4DBB703D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8F9351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135548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15%</w:t>
                  </w:r>
                </w:p>
              </w:tc>
            </w:tr>
          </w:tbl>
          <w:p w14:paraId="2ACDC022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13A395BA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7"/>
            </w:tblGrid>
            <w:tr w:rsidR="00DB179B" w:rsidRPr="00E94CA2" w14:paraId="644572AB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58446A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Style w:val="Nagwek3Znak"/>
                      <w:rFonts w:eastAsiaTheme="minorHAnsi" w:cstheme="minorHAnsi"/>
                      <w:sz w:val="22"/>
                      <w:szCs w:val="22"/>
                    </w:rPr>
                    <w:t>Razem</w:t>
                  </w:r>
                  <w:proofErr w:type="spellEnd"/>
                </w:p>
              </w:tc>
            </w:tr>
          </w:tbl>
          <w:p w14:paraId="574CF3FE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570"/>
            </w:tblGrid>
            <w:tr w:rsidR="00DB179B" w:rsidRPr="00E94CA2" w14:paraId="4A52EACC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394A5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6ABA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Style w:val="Pogrubienie"/>
                      <w:rFonts w:cstheme="minorHAnsi"/>
                    </w:rPr>
                    <w:t>100%</w:t>
                  </w:r>
                </w:p>
              </w:tc>
            </w:tr>
          </w:tbl>
          <w:p w14:paraId="6A066D7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</w:tbl>
    <w:p w14:paraId="05B3CC54" w14:textId="77777777" w:rsidR="00DB179B" w:rsidRPr="00E94CA2" w:rsidRDefault="00DB179B" w:rsidP="00DB179B">
      <w:pPr>
        <w:rPr>
          <w:rFonts w:cstheme="minorHAnsi"/>
        </w:rPr>
      </w:pPr>
    </w:p>
    <w:p w14:paraId="5DB25821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Parametry techniczno-analityczne</w:t>
      </w:r>
    </w:p>
    <w:p w14:paraId="1DEBCADF" w14:textId="77777777" w:rsidR="00DB179B" w:rsidRPr="00E94CA2" w:rsidRDefault="00DB179B" w:rsidP="00DB179B">
      <w:pPr>
        <w:rPr>
          <w:rFonts w:cstheme="minorHAnsi"/>
          <w:b/>
          <w:bCs/>
        </w:rPr>
      </w:pPr>
      <w:r w:rsidRPr="00E94CA2">
        <w:rPr>
          <w:rFonts w:cstheme="minorHAnsi"/>
          <w:b/>
          <w:bCs/>
        </w:rPr>
        <w:t>1. Możliwość rozbudowy systemu o dodatkowe lasery wzbudzające bez wymiany głowicy skanującej:</w:t>
      </w:r>
    </w:p>
    <w:p w14:paraId="79D2A187" w14:textId="38AFC3D0" w:rsidR="00DB179B" w:rsidRPr="00E52041" w:rsidRDefault="00DB179B" w:rsidP="00DB179B">
      <w:pPr>
        <w:numPr>
          <w:ilvl w:val="0"/>
          <w:numId w:val="24"/>
        </w:numPr>
        <w:spacing w:line="240" w:lineRule="auto"/>
        <w:rPr>
          <w:rFonts w:cstheme="minorHAnsi"/>
        </w:rPr>
      </w:pPr>
      <w:r w:rsidRPr="00E52041">
        <w:rPr>
          <w:rFonts w:cstheme="minorHAnsi"/>
        </w:rPr>
        <w:t xml:space="preserve">Co najmniej 2 </w:t>
      </w:r>
      <w:r w:rsidR="00917F1E" w:rsidRPr="00E52041">
        <w:rPr>
          <w:rFonts w:cstheme="minorHAnsi"/>
        </w:rPr>
        <w:t xml:space="preserve">różne </w:t>
      </w:r>
      <w:r w:rsidRPr="00E52041">
        <w:rPr>
          <w:rFonts w:cstheme="minorHAnsi"/>
        </w:rPr>
        <w:t>dodatkowe lasery</w:t>
      </w:r>
      <w:r w:rsidR="00E52041" w:rsidRPr="00E52041">
        <w:rPr>
          <w:rFonts w:cstheme="minorHAnsi"/>
        </w:rPr>
        <w:t xml:space="preserve"> </w:t>
      </w:r>
      <w:r w:rsidRPr="00E52041">
        <w:rPr>
          <w:rFonts w:cstheme="minorHAnsi"/>
        </w:rPr>
        <w:t>– 10 pkt</w:t>
      </w:r>
    </w:p>
    <w:p w14:paraId="208BB40D" w14:textId="77777777" w:rsidR="00DB179B" w:rsidRPr="00E94CA2" w:rsidRDefault="00DB179B" w:rsidP="00DB179B">
      <w:pPr>
        <w:numPr>
          <w:ilvl w:val="0"/>
          <w:numId w:val="24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>Jeden laser – 5 pkt</w:t>
      </w:r>
    </w:p>
    <w:p w14:paraId="2A8721E1" w14:textId="77777777" w:rsidR="00DB179B" w:rsidRPr="00E94CA2" w:rsidRDefault="00DB179B" w:rsidP="00DB179B">
      <w:pPr>
        <w:numPr>
          <w:ilvl w:val="0"/>
          <w:numId w:val="24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>Brak możliwości – 0 pkt</w:t>
      </w:r>
    </w:p>
    <w:p w14:paraId="1D2B6F56" w14:textId="77777777" w:rsidR="00DB179B" w:rsidRPr="00E94CA2" w:rsidRDefault="00DB179B" w:rsidP="00DB179B">
      <w:pPr>
        <w:spacing w:line="240" w:lineRule="auto"/>
        <w:rPr>
          <w:rFonts w:cstheme="minorHAnsi"/>
          <w:b/>
          <w:bCs/>
        </w:rPr>
      </w:pPr>
      <w:r w:rsidRPr="00E94CA2">
        <w:rPr>
          <w:rFonts w:cstheme="minorHAnsi"/>
          <w:b/>
          <w:bCs/>
        </w:rPr>
        <w:t>2. Możliwość rozbudowy systemu o dodatkowe wewnętrzne detektory spektralne</w:t>
      </w:r>
    </w:p>
    <w:p w14:paraId="265AEB5E" w14:textId="48A5A216" w:rsidR="00DB179B" w:rsidRPr="002E6099" w:rsidRDefault="00DB179B" w:rsidP="00DB179B">
      <w:pPr>
        <w:numPr>
          <w:ilvl w:val="0"/>
          <w:numId w:val="21"/>
        </w:numPr>
        <w:spacing w:line="240" w:lineRule="auto"/>
        <w:rPr>
          <w:rFonts w:cstheme="minorHAnsi"/>
          <w:color w:val="000000" w:themeColor="text1"/>
        </w:rPr>
      </w:pPr>
      <w:r w:rsidRPr="002E6099">
        <w:rPr>
          <w:rFonts w:cstheme="minorHAnsi"/>
          <w:color w:val="000000" w:themeColor="text1"/>
        </w:rPr>
        <w:t xml:space="preserve">możliwość </w:t>
      </w:r>
      <w:r w:rsidRPr="00E52041">
        <w:rPr>
          <w:rFonts w:cstheme="minorHAnsi"/>
        </w:rPr>
        <w:t xml:space="preserve">rozbudowy </w:t>
      </w:r>
      <w:r w:rsidR="00917F1E" w:rsidRPr="00E52041">
        <w:rPr>
          <w:rFonts w:cstheme="minorHAnsi"/>
        </w:rPr>
        <w:t xml:space="preserve">o </w:t>
      </w:r>
      <w:r w:rsidR="00E52041" w:rsidRPr="00E52041">
        <w:rPr>
          <w:rFonts w:cstheme="minorHAnsi"/>
        </w:rPr>
        <w:t>2</w:t>
      </w:r>
      <w:r w:rsidRPr="00E52041">
        <w:rPr>
          <w:rFonts w:cstheme="minorHAnsi"/>
        </w:rPr>
        <w:t xml:space="preserve"> detektor</w:t>
      </w:r>
      <w:r w:rsidR="00E52041" w:rsidRPr="00E52041">
        <w:rPr>
          <w:rFonts w:cstheme="minorHAnsi"/>
        </w:rPr>
        <w:t>y</w:t>
      </w:r>
      <w:r w:rsidRPr="00E52041">
        <w:rPr>
          <w:rFonts w:cstheme="minorHAnsi"/>
        </w:rPr>
        <w:t xml:space="preserve"> </w:t>
      </w:r>
      <w:r w:rsidRPr="002E6099">
        <w:rPr>
          <w:rFonts w:cstheme="minorHAnsi"/>
          <w:color w:val="000000" w:themeColor="text1"/>
        </w:rPr>
        <w:t xml:space="preserve">– </w:t>
      </w:r>
      <w:r w:rsidR="00505F8E" w:rsidRPr="002E6099">
        <w:rPr>
          <w:rFonts w:cstheme="minorHAnsi"/>
          <w:color w:val="000000" w:themeColor="text1"/>
        </w:rPr>
        <w:t>5</w:t>
      </w:r>
      <w:r w:rsidRPr="002E6099">
        <w:rPr>
          <w:rFonts w:cstheme="minorHAnsi"/>
          <w:color w:val="000000" w:themeColor="text1"/>
        </w:rPr>
        <w:t xml:space="preserve"> pkt </w:t>
      </w:r>
    </w:p>
    <w:p w14:paraId="090446AD" w14:textId="605C8957" w:rsidR="00DB179B" w:rsidRPr="002E6099" w:rsidRDefault="00DB179B" w:rsidP="00DB179B">
      <w:pPr>
        <w:numPr>
          <w:ilvl w:val="0"/>
          <w:numId w:val="21"/>
        </w:numPr>
        <w:spacing w:line="240" w:lineRule="auto"/>
        <w:rPr>
          <w:rFonts w:cstheme="minorHAnsi"/>
          <w:color w:val="000000" w:themeColor="text1"/>
        </w:rPr>
      </w:pPr>
      <w:r w:rsidRPr="002E6099">
        <w:rPr>
          <w:rFonts w:cstheme="minorHAnsi"/>
          <w:color w:val="000000" w:themeColor="text1"/>
        </w:rPr>
        <w:t xml:space="preserve">możliwość rozbudowy o </w:t>
      </w:r>
      <w:r w:rsidR="00E52041">
        <w:rPr>
          <w:rFonts w:cstheme="minorHAnsi"/>
          <w:color w:val="000000" w:themeColor="text1"/>
        </w:rPr>
        <w:t>1</w:t>
      </w:r>
      <w:r w:rsidRPr="002E6099">
        <w:rPr>
          <w:rFonts w:cstheme="minorHAnsi"/>
          <w:color w:val="000000" w:themeColor="text1"/>
        </w:rPr>
        <w:t xml:space="preserve"> detektor – </w:t>
      </w:r>
      <w:r w:rsidR="00505F8E" w:rsidRPr="002E6099">
        <w:rPr>
          <w:rFonts w:cstheme="minorHAnsi"/>
          <w:color w:val="000000" w:themeColor="text1"/>
        </w:rPr>
        <w:t>3</w:t>
      </w:r>
      <w:r w:rsidRPr="002E6099">
        <w:rPr>
          <w:rFonts w:cstheme="minorHAnsi"/>
          <w:color w:val="000000" w:themeColor="text1"/>
        </w:rPr>
        <w:t xml:space="preserve"> pkt </w:t>
      </w:r>
    </w:p>
    <w:p w14:paraId="0417FFF1" w14:textId="77777777" w:rsidR="00DB179B" w:rsidRPr="00E94CA2" w:rsidRDefault="00DB179B" w:rsidP="00DB179B">
      <w:pPr>
        <w:numPr>
          <w:ilvl w:val="0"/>
          <w:numId w:val="21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 xml:space="preserve">brak możliwości rozbudowy – 0 pkt </w:t>
      </w:r>
    </w:p>
    <w:p w14:paraId="27C270A8" w14:textId="77777777" w:rsidR="00DB179B" w:rsidRPr="00E94CA2" w:rsidRDefault="00DB179B" w:rsidP="00DB179B">
      <w:pPr>
        <w:spacing w:line="240" w:lineRule="auto"/>
        <w:rPr>
          <w:rFonts w:cstheme="minorHAnsi"/>
          <w:b/>
          <w:bCs/>
        </w:rPr>
      </w:pPr>
      <w:r w:rsidRPr="00E94CA2">
        <w:rPr>
          <w:rFonts w:cstheme="minorHAnsi"/>
          <w:b/>
          <w:bCs/>
        </w:rPr>
        <w:t xml:space="preserve">3. Możliwość rozbudowy systemu o moduł do pomiarów czasu życia fluorescencji (FLIM – </w:t>
      </w:r>
      <w:proofErr w:type="spellStart"/>
      <w:r w:rsidRPr="00E94CA2">
        <w:rPr>
          <w:rFonts w:cstheme="minorHAnsi"/>
          <w:b/>
          <w:bCs/>
        </w:rPr>
        <w:t>Fluorescence</w:t>
      </w:r>
      <w:proofErr w:type="spellEnd"/>
      <w:r w:rsidRPr="00E94CA2">
        <w:rPr>
          <w:rFonts w:cstheme="minorHAnsi"/>
          <w:b/>
          <w:bCs/>
        </w:rPr>
        <w:t xml:space="preserve"> </w:t>
      </w:r>
      <w:proofErr w:type="spellStart"/>
      <w:r w:rsidRPr="00E94CA2">
        <w:rPr>
          <w:rFonts w:cstheme="minorHAnsi"/>
          <w:b/>
          <w:bCs/>
        </w:rPr>
        <w:t>LifeTime</w:t>
      </w:r>
      <w:proofErr w:type="spellEnd"/>
      <w:r w:rsidRPr="00E94CA2">
        <w:rPr>
          <w:rFonts w:cstheme="minorHAnsi"/>
          <w:b/>
          <w:bCs/>
        </w:rPr>
        <w:t xml:space="preserve"> </w:t>
      </w:r>
      <w:proofErr w:type="spellStart"/>
      <w:r w:rsidRPr="00E94CA2">
        <w:rPr>
          <w:rFonts w:cstheme="minorHAnsi"/>
          <w:b/>
          <w:bCs/>
        </w:rPr>
        <w:t>Microscopy</w:t>
      </w:r>
      <w:proofErr w:type="spellEnd"/>
      <w:r w:rsidRPr="00E94CA2">
        <w:rPr>
          <w:rFonts w:cstheme="minorHAnsi"/>
          <w:b/>
          <w:bCs/>
        </w:rPr>
        <w:t>) bez wymiany detektorów</w:t>
      </w:r>
    </w:p>
    <w:p w14:paraId="6968A808" w14:textId="77777777" w:rsidR="00DB179B" w:rsidRPr="00E94CA2" w:rsidRDefault="00DB179B" w:rsidP="00DB179B">
      <w:pPr>
        <w:numPr>
          <w:ilvl w:val="0"/>
          <w:numId w:val="22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lastRenderedPageBreak/>
        <w:t xml:space="preserve">TAK – 5 pkt </w:t>
      </w:r>
    </w:p>
    <w:p w14:paraId="6F03344A" w14:textId="77777777" w:rsidR="00DB179B" w:rsidRPr="00E94CA2" w:rsidRDefault="00DB179B" w:rsidP="00DB179B">
      <w:pPr>
        <w:numPr>
          <w:ilvl w:val="0"/>
          <w:numId w:val="22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 xml:space="preserve">NIE – 0 pkt </w:t>
      </w:r>
    </w:p>
    <w:p w14:paraId="68F9DE9C" w14:textId="77777777" w:rsidR="00DB179B" w:rsidRPr="00E94CA2" w:rsidRDefault="00DB179B" w:rsidP="00DB179B">
      <w:pPr>
        <w:spacing w:line="240" w:lineRule="auto"/>
        <w:rPr>
          <w:rFonts w:cstheme="minorHAnsi"/>
          <w:b/>
          <w:bCs/>
        </w:rPr>
      </w:pPr>
      <w:r w:rsidRPr="00E94CA2">
        <w:rPr>
          <w:rFonts w:cstheme="minorHAnsi"/>
          <w:b/>
          <w:bCs/>
        </w:rPr>
        <w:t>4. Najwyższa deklarowana rozdzielczość XY obrazu osiągana na systemie nie gorsza niż:</w:t>
      </w:r>
    </w:p>
    <w:p w14:paraId="54DDFDE2" w14:textId="77777777" w:rsidR="00DB179B" w:rsidRPr="00E94CA2" w:rsidRDefault="00DB179B" w:rsidP="00DB179B">
      <w:pPr>
        <w:numPr>
          <w:ilvl w:val="0"/>
          <w:numId w:val="23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 xml:space="preserve">≤ 50 </w:t>
      </w:r>
      <w:proofErr w:type="spellStart"/>
      <w:r w:rsidRPr="00E94CA2">
        <w:rPr>
          <w:rFonts w:cstheme="minorHAnsi"/>
        </w:rPr>
        <w:t>nm</w:t>
      </w:r>
      <w:proofErr w:type="spellEnd"/>
      <w:r w:rsidRPr="00E94CA2">
        <w:rPr>
          <w:rFonts w:cstheme="minorHAnsi"/>
        </w:rPr>
        <w:t xml:space="preserve"> – 5 pkt </w:t>
      </w:r>
    </w:p>
    <w:p w14:paraId="6361A090" w14:textId="46D29652" w:rsidR="00DB179B" w:rsidRPr="00E94CA2" w:rsidRDefault="00FE67E8" w:rsidP="00DB179B">
      <w:pPr>
        <w:numPr>
          <w:ilvl w:val="0"/>
          <w:numId w:val="23"/>
        </w:numPr>
        <w:spacing w:line="240" w:lineRule="auto"/>
        <w:rPr>
          <w:rFonts w:cstheme="minorHAnsi"/>
        </w:rPr>
      </w:pPr>
      <w:r w:rsidRPr="00FE67E8">
        <w:rPr>
          <w:rFonts w:cstheme="minorHAnsi"/>
          <w:lang w:val="en"/>
        </w:rPr>
        <w:t>˃ 50 i ≤ 120</w:t>
      </w:r>
      <w:r w:rsidR="006819BB">
        <w:rPr>
          <w:rFonts w:cstheme="minorHAnsi"/>
          <w:lang w:val="en"/>
        </w:rPr>
        <w:t xml:space="preserve"> </w:t>
      </w:r>
      <w:proofErr w:type="spellStart"/>
      <w:r w:rsidR="00DB179B" w:rsidRPr="00E94CA2">
        <w:rPr>
          <w:rFonts w:cstheme="minorHAnsi"/>
        </w:rPr>
        <w:t>nm</w:t>
      </w:r>
      <w:proofErr w:type="spellEnd"/>
      <w:r w:rsidR="00DB179B" w:rsidRPr="00E94CA2">
        <w:rPr>
          <w:rFonts w:cstheme="minorHAnsi"/>
        </w:rPr>
        <w:t xml:space="preserve"> – 3 pkt </w:t>
      </w:r>
    </w:p>
    <w:p w14:paraId="3359AFDF" w14:textId="77777777" w:rsidR="00DB179B" w:rsidRPr="00E94CA2" w:rsidRDefault="00DB179B" w:rsidP="00DB179B">
      <w:pPr>
        <w:numPr>
          <w:ilvl w:val="0"/>
          <w:numId w:val="23"/>
        </w:numPr>
        <w:spacing w:line="240" w:lineRule="auto"/>
        <w:rPr>
          <w:rFonts w:cstheme="minorHAnsi"/>
        </w:rPr>
      </w:pPr>
      <w:r w:rsidRPr="00E94CA2">
        <w:rPr>
          <w:rFonts w:cstheme="minorHAnsi"/>
        </w:rPr>
        <w:t xml:space="preserve">&gt; 120 </w:t>
      </w:r>
      <w:proofErr w:type="spellStart"/>
      <w:r w:rsidRPr="00E94CA2">
        <w:rPr>
          <w:rFonts w:cstheme="minorHAnsi"/>
        </w:rPr>
        <w:t>nm</w:t>
      </w:r>
      <w:proofErr w:type="spellEnd"/>
      <w:r w:rsidRPr="00E94CA2">
        <w:rPr>
          <w:rFonts w:cstheme="minorHAnsi"/>
        </w:rPr>
        <w:t xml:space="preserve"> – 0 pkt</w:t>
      </w:r>
    </w:p>
    <w:p w14:paraId="12BCC5A5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Zielone kryteria środowiskowo-eksploatacyjne</w:t>
      </w:r>
    </w:p>
    <w:p w14:paraId="6EF7174A" w14:textId="77777777" w:rsidR="00DB179B" w:rsidRPr="00E94CA2" w:rsidRDefault="00DB179B" w:rsidP="00DB179B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Efektywność energetyczna systemu — 5 pkt</w:t>
      </w:r>
      <w:r w:rsidRPr="00E94CA2">
        <w:rPr>
          <w:rFonts w:eastAsia="Times New Roman" w:cstheme="minorHAnsi"/>
          <w:lang w:eastAsia="pl-PL"/>
        </w:rPr>
        <w:br/>
        <w:t>Punkty zostaną przyznane na podstawie deklarowanego łącznego zapotrzebowania na moc elektryczną głównych elementów systemu. Najniższa wartość otrzyma 5 pkt, pozostałe proporcjonalnie według wzoru:</w:t>
      </w:r>
      <w:r w:rsidRPr="00E94CA2">
        <w:rPr>
          <w:rFonts w:eastAsia="Times New Roman" w:cstheme="minorHAnsi"/>
          <w:lang w:eastAsia="pl-PL"/>
        </w:rPr>
        <w:br/>
      </w:r>
      <w:r w:rsidRPr="00E94CA2">
        <w:rPr>
          <w:rFonts w:eastAsia="Times New Roman" w:cstheme="minorHAnsi"/>
          <w:b/>
          <w:bCs/>
          <w:lang w:eastAsia="pl-PL"/>
        </w:rPr>
        <w:t xml:space="preserve">P = 5 × Emin / </w:t>
      </w:r>
      <w:proofErr w:type="spellStart"/>
      <w:r w:rsidRPr="00E94CA2">
        <w:rPr>
          <w:rFonts w:eastAsia="Times New Roman" w:cstheme="minorHAnsi"/>
          <w:b/>
          <w:bCs/>
          <w:lang w:eastAsia="pl-PL"/>
        </w:rPr>
        <w:t>Ebad</w:t>
      </w:r>
      <w:proofErr w:type="spellEnd"/>
      <w:r w:rsidRPr="00E94CA2">
        <w:rPr>
          <w:rFonts w:eastAsia="Times New Roman" w:cstheme="minorHAnsi"/>
          <w:lang w:eastAsia="pl-PL"/>
        </w:rPr>
        <w:t xml:space="preserve">. </w:t>
      </w:r>
    </w:p>
    <w:p w14:paraId="3BBDA1BC" w14:textId="77777777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Serwisowalność i dostępność części — 5 pkt</w:t>
      </w:r>
      <w:r w:rsidRPr="00E94CA2">
        <w:rPr>
          <w:rFonts w:eastAsia="Times New Roman" w:cstheme="minorHAnsi"/>
          <w:lang w:eastAsia="pl-PL"/>
        </w:rPr>
        <w:br/>
        <w:t>5 pkt — dostępność części i wsparcia przez co najmniej 13 lat;</w:t>
      </w:r>
      <w:r w:rsidRPr="00E94CA2">
        <w:rPr>
          <w:rFonts w:eastAsia="Times New Roman" w:cstheme="minorHAnsi"/>
          <w:lang w:eastAsia="pl-PL"/>
        </w:rPr>
        <w:br/>
        <w:t>3 pkt — dostępność przez co najmniej 12 lat;</w:t>
      </w:r>
      <w:r w:rsidRPr="00E94CA2">
        <w:rPr>
          <w:rFonts w:eastAsia="Times New Roman" w:cstheme="minorHAnsi"/>
          <w:lang w:eastAsia="pl-PL"/>
        </w:rPr>
        <w:br/>
        <w:t>1 pkt — dostępność przez co najmniej 11 lat;</w:t>
      </w:r>
      <w:r w:rsidRPr="00E94CA2">
        <w:rPr>
          <w:rFonts w:eastAsia="Times New Roman" w:cstheme="minorHAnsi"/>
          <w:lang w:eastAsia="pl-PL"/>
        </w:rPr>
        <w:br/>
        <w:t xml:space="preserve">0 pkt — dostępność przez co najmniej 10 lat. </w:t>
      </w:r>
    </w:p>
    <w:p w14:paraId="74F28EBF" w14:textId="20D14353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Modularność i rozbudowywalność — 5 pkt</w:t>
      </w:r>
      <w:r w:rsidRPr="00E94CA2">
        <w:rPr>
          <w:rFonts w:eastAsia="Times New Roman" w:cstheme="minorHAnsi"/>
          <w:lang w:eastAsia="pl-PL"/>
        </w:rPr>
        <w:br/>
        <w:t>5 pkt — możliwość rozbudowy/wymiany co najmniej trzech typów modułów funkcjonalnych bez wymiany całego systemu;</w:t>
      </w:r>
      <w:r w:rsidRPr="00E94CA2">
        <w:rPr>
          <w:rFonts w:eastAsia="Times New Roman" w:cstheme="minorHAnsi"/>
          <w:lang w:eastAsia="pl-PL"/>
        </w:rPr>
        <w:br/>
      </w:r>
      <w:r w:rsidR="00D83465">
        <w:rPr>
          <w:rFonts w:eastAsia="Times New Roman" w:cstheme="minorHAnsi"/>
          <w:lang w:eastAsia="pl-PL"/>
        </w:rPr>
        <w:t>3</w:t>
      </w:r>
      <w:r w:rsidRPr="00E94CA2">
        <w:rPr>
          <w:rFonts w:eastAsia="Times New Roman" w:cstheme="minorHAnsi"/>
          <w:lang w:eastAsia="pl-PL"/>
        </w:rPr>
        <w:t xml:space="preserve"> pkt — możliwość rozbudowy/wymiany dwóch typów modułów;</w:t>
      </w:r>
      <w:r w:rsidRPr="00E94CA2">
        <w:rPr>
          <w:rFonts w:eastAsia="Times New Roman" w:cstheme="minorHAnsi"/>
          <w:lang w:eastAsia="pl-PL"/>
        </w:rPr>
        <w:br/>
        <w:t>1 pkt — możliwość rozbudowy/wymiany jednego typu modułu;</w:t>
      </w:r>
      <w:r w:rsidRPr="00E94CA2">
        <w:rPr>
          <w:rFonts w:eastAsia="Times New Roman" w:cstheme="minorHAnsi"/>
          <w:lang w:eastAsia="pl-PL"/>
        </w:rPr>
        <w:br/>
        <w:t>0 pkt — brak udokumentowanej modularności.</w:t>
      </w:r>
    </w:p>
    <w:p w14:paraId="7818C53C" w14:textId="77777777" w:rsidR="000935B5" w:rsidRDefault="000935B5" w:rsidP="00DB179B">
      <w:pPr>
        <w:ind w:left="720" w:hanging="360"/>
        <w:jc w:val="both"/>
        <w:rPr>
          <w:b/>
          <w:bCs/>
          <w:sz w:val="24"/>
          <w:szCs w:val="24"/>
        </w:rPr>
      </w:pPr>
    </w:p>
    <w:sectPr w:rsidR="000935B5" w:rsidSect="00DA5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01C98" w14:textId="77777777" w:rsidR="00264D4B" w:rsidRDefault="00264D4B" w:rsidP="00587451">
      <w:pPr>
        <w:spacing w:after="0" w:line="240" w:lineRule="auto"/>
      </w:pPr>
      <w:r>
        <w:separator/>
      </w:r>
    </w:p>
  </w:endnote>
  <w:endnote w:type="continuationSeparator" w:id="0">
    <w:p w14:paraId="27D60146" w14:textId="77777777" w:rsidR="00264D4B" w:rsidRDefault="00264D4B" w:rsidP="0058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DBED2" w14:textId="77777777" w:rsidR="00587451" w:rsidRDefault="005874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F2C9A" w14:textId="77777777" w:rsidR="00587451" w:rsidRDefault="005874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8ACF" w14:textId="77777777" w:rsidR="00587451" w:rsidRDefault="005874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605EA" w14:textId="77777777" w:rsidR="00264D4B" w:rsidRDefault="00264D4B" w:rsidP="00587451">
      <w:pPr>
        <w:spacing w:after="0" w:line="240" w:lineRule="auto"/>
      </w:pPr>
      <w:r>
        <w:separator/>
      </w:r>
    </w:p>
  </w:footnote>
  <w:footnote w:type="continuationSeparator" w:id="0">
    <w:p w14:paraId="179F4AE3" w14:textId="77777777" w:rsidR="00264D4B" w:rsidRDefault="00264D4B" w:rsidP="0058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9E7F" w14:textId="77777777" w:rsidR="00587451" w:rsidRDefault="00587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F677" w14:textId="57FB1F3C" w:rsidR="00587451" w:rsidRDefault="00587451">
    <w:pPr>
      <w:pStyle w:val="Nagwek"/>
    </w:pPr>
    <w:r>
      <w:rPr>
        <w:noProof/>
      </w:rPr>
      <w:drawing>
        <wp:inline distT="0" distB="0" distL="0" distR="0" wp14:anchorId="57EA1A2F" wp14:editId="759D2FF7">
          <wp:extent cx="5760720" cy="561975"/>
          <wp:effectExtent l="0" t="0" r="0" b="9525"/>
          <wp:docPr id="583059178" name="Obraz 872524213" descr="Obraz zawierający zrzut ekranu, Wielobarwność, Prostokąt, kwadra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872524213" descr="Obraz zawierający zrzut ekranu, Wielobarwność, Prostokąt, kwadra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063" b="1637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C3FDCA" w14:textId="77777777" w:rsidR="00DA5C31" w:rsidRDefault="00DA5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B1AF" w14:textId="77777777" w:rsidR="00587451" w:rsidRDefault="005874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A7C"/>
    <w:multiLevelType w:val="multilevel"/>
    <w:tmpl w:val="F03830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4F08EB"/>
    <w:multiLevelType w:val="hybridMultilevel"/>
    <w:tmpl w:val="958EE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D4BBB"/>
    <w:multiLevelType w:val="multilevel"/>
    <w:tmpl w:val="0A2A71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4935FF1"/>
    <w:multiLevelType w:val="multilevel"/>
    <w:tmpl w:val="FA704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6D418A"/>
    <w:multiLevelType w:val="multilevel"/>
    <w:tmpl w:val="3AB82F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496D01"/>
    <w:multiLevelType w:val="multilevel"/>
    <w:tmpl w:val="F64A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3F234B"/>
    <w:multiLevelType w:val="multilevel"/>
    <w:tmpl w:val="63DED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25A34"/>
    <w:multiLevelType w:val="multilevel"/>
    <w:tmpl w:val="AFF85B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A434A8"/>
    <w:multiLevelType w:val="multilevel"/>
    <w:tmpl w:val="942244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D924AE"/>
    <w:multiLevelType w:val="multilevel"/>
    <w:tmpl w:val="AFF0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11FCC"/>
    <w:multiLevelType w:val="multilevel"/>
    <w:tmpl w:val="F8625E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0104B0"/>
    <w:multiLevelType w:val="multilevel"/>
    <w:tmpl w:val="945E550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BD060E7"/>
    <w:multiLevelType w:val="multilevel"/>
    <w:tmpl w:val="B0E4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A47E8E"/>
    <w:multiLevelType w:val="multilevel"/>
    <w:tmpl w:val="DD663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7F6C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83159706">
    <w:abstractNumId w:val="1"/>
  </w:num>
  <w:num w:numId="2" w16cid:durableId="751202139">
    <w:abstractNumId w:val="2"/>
  </w:num>
  <w:num w:numId="3" w16cid:durableId="487862517">
    <w:abstractNumId w:val="0"/>
  </w:num>
  <w:num w:numId="4" w16cid:durableId="1578395588">
    <w:abstractNumId w:val="13"/>
  </w:num>
  <w:num w:numId="5" w16cid:durableId="375007477">
    <w:abstractNumId w:val="17"/>
  </w:num>
  <w:num w:numId="6" w16cid:durableId="297616867">
    <w:abstractNumId w:val="19"/>
  </w:num>
  <w:num w:numId="7" w16cid:durableId="1671565193">
    <w:abstractNumId w:val="24"/>
  </w:num>
  <w:num w:numId="8" w16cid:durableId="1418748807">
    <w:abstractNumId w:val="9"/>
  </w:num>
  <w:num w:numId="9" w16cid:durableId="1928229803">
    <w:abstractNumId w:val="6"/>
  </w:num>
  <w:num w:numId="10" w16cid:durableId="1589119942">
    <w:abstractNumId w:val="12"/>
  </w:num>
  <w:num w:numId="11" w16cid:durableId="1579166566">
    <w:abstractNumId w:val="18"/>
  </w:num>
  <w:num w:numId="12" w16cid:durableId="1502818372">
    <w:abstractNumId w:val="7"/>
  </w:num>
  <w:num w:numId="13" w16cid:durableId="191841533">
    <w:abstractNumId w:val="11"/>
  </w:num>
  <w:num w:numId="14" w16cid:durableId="1958636846">
    <w:abstractNumId w:val="15"/>
  </w:num>
  <w:num w:numId="15" w16cid:durableId="2006057107">
    <w:abstractNumId w:val="20"/>
  </w:num>
  <w:num w:numId="16" w16cid:durableId="1867864568">
    <w:abstractNumId w:val="23"/>
  </w:num>
  <w:num w:numId="17" w16cid:durableId="1626233077">
    <w:abstractNumId w:val="14"/>
  </w:num>
  <w:num w:numId="18" w16cid:durableId="630552773">
    <w:abstractNumId w:val="3"/>
  </w:num>
  <w:num w:numId="19" w16cid:durableId="2054036470">
    <w:abstractNumId w:val="5"/>
  </w:num>
  <w:num w:numId="20" w16cid:durableId="1153375538">
    <w:abstractNumId w:val="8"/>
  </w:num>
  <w:num w:numId="21" w16cid:durableId="1283922503">
    <w:abstractNumId w:val="16"/>
  </w:num>
  <w:num w:numId="22" w16cid:durableId="1967155737">
    <w:abstractNumId w:val="10"/>
  </w:num>
  <w:num w:numId="23" w16cid:durableId="838353751">
    <w:abstractNumId w:val="25"/>
  </w:num>
  <w:num w:numId="24" w16cid:durableId="910581309">
    <w:abstractNumId w:val="22"/>
  </w:num>
  <w:num w:numId="25" w16cid:durableId="768817338">
    <w:abstractNumId w:val="26"/>
  </w:num>
  <w:num w:numId="26" w16cid:durableId="1957443269">
    <w:abstractNumId w:val="21"/>
  </w:num>
  <w:num w:numId="27" w16cid:durableId="499614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865B6"/>
    <w:rsid w:val="000935B5"/>
    <w:rsid w:val="00094913"/>
    <w:rsid w:val="00150F8D"/>
    <w:rsid w:val="00152A8A"/>
    <w:rsid w:val="00190C45"/>
    <w:rsid w:val="001D6C2D"/>
    <w:rsid w:val="00231645"/>
    <w:rsid w:val="00264D4B"/>
    <w:rsid w:val="00267A9C"/>
    <w:rsid w:val="002E6099"/>
    <w:rsid w:val="003132BA"/>
    <w:rsid w:val="003B2FB2"/>
    <w:rsid w:val="003B3FA6"/>
    <w:rsid w:val="00457092"/>
    <w:rsid w:val="00463B3A"/>
    <w:rsid w:val="004B6171"/>
    <w:rsid w:val="004D1CC5"/>
    <w:rsid w:val="004E1AB8"/>
    <w:rsid w:val="004E792D"/>
    <w:rsid w:val="00505F8E"/>
    <w:rsid w:val="00587451"/>
    <w:rsid w:val="0059643C"/>
    <w:rsid w:val="00636520"/>
    <w:rsid w:val="00663CD3"/>
    <w:rsid w:val="006819BB"/>
    <w:rsid w:val="006C33A8"/>
    <w:rsid w:val="006D75B0"/>
    <w:rsid w:val="00716828"/>
    <w:rsid w:val="00744BEC"/>
    <w:rsid w:val="00746BFC"/>
    <w:rsid w:val="00856FE4"/>
    <w:rsid w:val="00907CCD"/>
    <w:rsid w:val="00917F1E"/>
    <w:rsid w:val="00921F36"/>
    <w:rsid w:val="0093193B"/>
    <w:rsid w:val="00985EDE"/>
    <w:rsid w:val="009906A9"/>
    <w:rsid w:val="00995B7F"/>
    <w:rsid w:val="00995C9E"/>
    <w:rsid w:val="00A93DF0"/>
    <w:rsid w:val="00B21736"/>
    <w:rsid w:val="00B37197"/>
    <w:rsid w:val="00C44AEC"/>
    <w:rsid w:val="00C71677"/>
    <w:rsid w:val="00C84674"/>
    <w:rsid w:val="00CD683F"/>
    <w:rsid w:val="00D24788"/>
    <w:rsid w:val="00D83465"/>
    <w:rsid w:val="00DA5C31"/>
    <w:rsid w:val="00DB179B"/>
    <w:rsid w:val="00DB3552"/>
    <w:rsid w:val="00E15219"/>
    <w:rsid w:val="00E52041"/>
    <w:rsid w:val="00E728CD"/>
    <w:rsid w:val="00E9195A"/>
    <w:rsid w:val="00E94CA2"/>
    <w:rsid w:val="00EE2EDE"/>
    <w:rsid w:val="00F838DB"/>
    <w:rsid w:val="00FE67E8"/>
    <w:rsid w:val="00F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99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  <w:style w:type="character" w:styleId="Pogrubienie">
    <w:name w:val="Strong"/>
    <w:basedOn w:val="Domylnaczcionkaakapitu"/>
    <w:uiPriority w:val="22"/>
    <w:qFormat/>
    <w:rsid w:val="00DB179B"/>
    <w:rPr>
      <w:b/>
      <w:bCs/>
    </w:rPr>
  </w:style>
  <w:style w:type="character" w:customStyle="1" w:styleId="Nagwek3Znak">
    <w:name w:val="Nagłówek 3 Znak"/>
    <w:basedOn w:val="Domylnaczcionkaakapitu"/>
    <w:uiPriority w:val="9"/>
    <w:rsid w:val="00DB179B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7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79B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79B"/>
    <w:rPr>
      <w:kern w:val="2"/>
      <w:sz w:val="20"/>
      <w:szCs w:val="20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736"/>
    <w:rPr>
      <w:b/>
      <w:bCs/>
      <w:kern w:val="0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736"/>
    <w:rPr>
      <w:b/>
      <w:bCs/>
      <w:kern w:val="2"/>
      <w:sz w:val="20"/>
      <w:szCs w:val="20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451"/>
  </w:style>
  <w:style w:type="paragraph" w:styleId="Stopka">
    <w:name w:val="footer"/>
    <w:basedOn w:val="Normalny"/>
    <w:link w:val="Stopka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2637</Words>
  <Characters>15824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5</cp:revision>
  <dcterms:created xsi:type="dcterms:W3CDTF">2026-08-14T11:50:00Z</dcterms:created>
  <dcterms:modified xsi:type="dcterms:W3CDTF">2026-08-20T10:49:00Z</dcterms:modified>
</cp:coreProperties>
</file>