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AD02B" w14:textId="23B9F6C7" w:rsidR="00663CD3" w:rsidRDefault="00663CD3" w:rsidP="00663CD3">
      <w:pPr>
        <w:ind w:left="5676" w:firstLine="69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A do SWZ</w:t>
      </w:r>
    </w:p>
    <w:p w14:paraId="7252FA17" w14:textId="3DB8DD90" w:rsidR="00457092" w:rsidRDefault="00457092" w:rsidP="00457092">
      <w:pPr>
        <w:ind w:left="720" w:hanging="360"/>
        <w:jc w:val="center"/>
        <w:rPr>
          <w:b/>
          <w:bCs/>
          <w:sz w:val="24"/>
          <w:szCs w:val="24"/>
        </w:rPr>
      </w:pPr>
      <w:r w:rsidRPr="00457092">
        <w:rPr>
          <w:b/>
          <w:bCs/>
          <w:sz w:val="24"/>
          <w:szCs w:val="24"/>
        </w:rPr>
        <w:t>OPIS PRZEDMIOTU ZAMÓWIENIA</w:t>
      </w:r>
    </w:p>
    <w:p w14:paraId="381EF71A" w14:textId="1F7357FD" w:rsidR="00DB179B" w:rsidRPr="00B07C83" w:rsidRDefault="00DB179B" w:rsidP="00DB179B">
      <w:pPr>
        <w:jc w:val="center"/>
        <w:rPr>
          <w:b/>
          <w:bCs/>
        </w:rPr>
      </w:pPr>
      <w:r w:rsidRPr="00B07C83">
        <w:rPr>
          <w:b/>
          <w:bCs/>
        </w:rPr>
        <w:t xml:space="preserve">System </w:t>
      </w:r>
      <w:r w:rsidR="00F06ED8" w:rsidRPr="00F06ED8">
        <w:rPr>
          <w:b/>
          <w:bCs/>
        </w:rPr>
        <w:t>mikrodysekcji laserowej</w:t>
      </w:r>
    </w:p>
    <w:p w14:paraId="16FA8082" w14:textId="77777777" w:rsidR="00DB179B" w:rsidRDefault="00DB179B" w:rsidP="001D6C2D">
      <w:pPr>
        <w:jc w:val="both"/>
      </w:pPr>
      <w:r>
        <w:t>Opis przedmiotu zamówienia:</w:t>
      </w:r>
    </w:p>
    <w:p w14:paraId="1259A733" w14:textId="74974DF9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System mikroskopowy umożliwiający mikrodysekcję pojedynczych komórek oraz grup komórek z następujących rodzajów materiałów: tkanek zatapianych w parafinie</w:t>
      </w:r>
      <w:r w:rsidR="00A5759B">
        <w:t xml:space="preserve"> </w:t>
      </w:r>
      <w:r>
        <w:t>(świeżych i archiwalnych), skrawków mrożonych</w:t>
      </w:r>
    </w:p>
    <w:p w14:paraId="2946E27E" w14:textId="6C886901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Urządzenie wyposażone w laser UV o długości fali 349 </w:t>
      </w:r>
      <w:proofErr w:type="spellStart"/>
      <w:r>
        <w:t>nm</w:t>
      </w:r>
      <w:proofErr w:type="spellEnd"/>
      <w:r>
        <w:t>, mocy minimum</w:t>
      </w:r>
      <w:r w:rsidR="002B5C4B">
        <w:t xml:space="preserve"> </w:t>
      </w:r>
      <w:r>
        <w:t xml:space="preserve">100 </w:t>
      </w:r>
      <w:proofErr w:type="spellStart"/>
      <w:r>
        <w:t>μJ</w:t>
      </w:r>
      <w:proofErr w:type="spellEnd"/>
      <w:r>
        <w:t>, z regulacją mocy, regulacją częstotliwości impulsów i szerokości cięcia</w:t>
      </w:r>
    </w:p>
    <w:p w14:paraId="1F6BC50E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Możliwość mikrodysekcji przy grubości materiału od 1 </w:t>
      </w:r>
      <w:proofErr w:type="spellStart"/>
      <w:r>
        <w:t>μm</w:t>
      </w:r>
      <w:proofErr w:type="spellEnd"/>
      <w:r>
        <w:t xml:space="preserve"> do 200 </w:t>
      </w:r>
      <w:proofErr w:type="spellStart"/>
      <w:r>
        <w:t>μm</w:t>
      </w:r>
      <w:proofErr w:type="spellEnd"/>
      <w:r>
        <w:t xml:space="preserve"> </w:t>
      </w:r>
    </w:p>
    <w:p w14:paraId="0473764B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Urządzenie musi zapewniać precyzję cięcia poniżej ± 0,1μm przy największym powiększeniu mikroskopu.</w:t>
      </w:r>
    </w:p>
    <w:p w14:paraId="45B0D2DB" w14:textId="06C1F6DA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Możliwość wycinania fragmentów tkanek i komórek niebarwionych oraz</w:t>
      </w:r>
      <w:r w:rsidR="00F91DA9">
        <w:t xml:space="preserve"> </w:t>
      </w:r>
      <w:r>
        <w:t>barwionych różnymi technikami.</w:t>
      </w:r>
    </w:p>
    <w:p w14:paraId="327E4108" w14:textId="75EA9BC2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Możliwość mikrodysekcji preparatów tkankowych zarówno na szkiełkach</w:t>
      </w:r>
      <w:r w:rsidR="00F91DA9">
        <w:t xml:space="preserve"> </w:t>
      </w:r>
      <w:r>
        <w:t>szklanych jak i na membranach</w:t>
      </w:r>
    </w:p>
    <w:p w14:paraId="5BABDE47" w14:textId="3EA2DF12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Zbieranie wyciętego materiału bezpośrednio do standardowych</w:t>
      </w:r>
      <w:r w:rsidR="000132E7">
        <w:t xml:space="preserve"> </w:t>
      </w:r>
      <w:r>
        <w:t>probówek PCR o pojemności 0,2 ml lub 0,5 ml.</w:t>
      </w:r>
    </w:p>
    <w:p w14:paraId="705A5545" w14:textId="2CBC9D82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Zbieranie materiału metodą bezkontaktową, bez dodatkowego impulsu</w:t>
      </w:r>
      <w:r w:rsidR="000132E7">
        <w:t xml:space="preserve"> </w:t>
      </w:r>
      <w:r>
        <w:t>laserowego i użycia dodatkowych materiałów zużywalnych typu kapturki, folie itp.</w:t>
      </w:r>
    </w:p>
    <w:p w14:paraId="3777F6DF" w14:textId="485AFF1D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Możliwość bezpośredniego umieszczania wyciętego materiału w buforach</w:t>
      </w:r>
      <w:r w:rsidR="000132E7">
        <w:t xml:space="preserve"> </w:t>
      </w:r>
      <w:r>
        <w:t>reakcyjnych i płynach hodowlanych.</w:t>
      </w:r>
    </w:p>
    <w:p w14:paraId="014CB216" w14:textId="1AF377D5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Możliwość automatycznego podglądu wyciętego materiału w naczyniu</w:t>
      </w:r>
      <w:r w:rsidR="00780D33">
        <w:t xml:space="preserve"> </w:t>
      </w:r>
      <w:r>
        <w:t>zbierającym.</w:t>
      </w:r>
    </w:p>
    <w:p w14:paraId="030424F2" w14:textId="6A8BB851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Możliwość automatycznego rozpoznawania zadanych kształtów oraz ich</w:t>
      </w:r>
      <w:r w:rsidR="00780D33">
        <w:t xml:space="preserve"> </w:t>
      </w:r>
      <w:r>
        <w:t>wycinania na obszarze całego preparatu umieszczonego na stoliku</w:t>
      </w:r>
      <w:r w:rsidR="00780D33">
        <w:t xml:space="preserve"> </w:t>
      </w:r>
      <w:r>
        <w:t>przedmiotowym mikroskopu (nie tylko w polu widzenia).</w:t>
      </w:r>
    </w:p>
    <w:p w14:paraId="2B7573E0" w14:textId="3E017C68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Wycinanie materiału w czasie rzeczywistym ze sterowaniem promieniem lasera</w:t>
      </w:r>
      <w:r w:rsidR="00780D33">
        <w:t xml:space="preserve"> </w:t>
      </w:r>
      <w:r>
        <w:t>wycinającego za pomocą myszy komputerowej lub wskaźnika i monitora typu</w:t>
      </w:r>
      <w:r w:rsidR="00780D33">
        <w:t xml:space="preserve"> </w:t>
      </w:r>
      <w:proofErr w:type="spellStart"/>
      <w:r>
        <w:t>PenScreen</w:t>
      </w:r>
      <w:proofErr w:type="spellEnd"/>
      <w:r>
        <w:t>.</w:t>
      </w:r>
    </w:p>
    <w:p w14:paraId="014B55A6" w14:textId="6631F59F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Możliwość równoległego obrazowania fluorescencyjnego i mikrodysekcji</w:t>
      </w:r>
      <w:r w:rsidR="00780D33">
        <w:t xml:space="preserve"> </w:t>
      </w:r>
      <w:r>
        <w:t xml:space="preserve">laserowej preparatów barwionych </w:t>
      </w:r>
      <w:proofErr w:type="spellStart"/>
      <w:r>
        <w:t>fluorochromami</w:t>
      </w:r>
      <w:proofErr w:type="spellEnd"/>
      <w:r>
        <w:t>.</w:t>
      </w:r>
    </w:p>
    <w:p w14:paraId="422167AB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Optyka korygowana do nieskończoności o długości </w:t>
      </w:r>
      <w:proofErr w:type="spellStart"/>
      <w:r>
        <w:t>parfokalnej</w:t>
      </w:r>
      <w:proofErr w:type="spellEnd"/>
      <w:r>
        <w:t xml:space="preserve"> max. 45mm</w:t>
      </w:r>
    </w:p>
    <w:p w14:paraId="1692E4F7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Statyw mikroskopu w pełni zautomatyzowany do pracy w trybie: pole jasne, kontrast faz, fluorescencja</w:t>
      </w:r>
    </w:p>
    <w:p w14:paraId="1C668E81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Okulary 10x z korekcją </w:t>
      </w:r>
      <w:proofErr w:type="spellStart"/>
      <w:r>
        <w:t>dioptryjną</w:t>
      </w:r>
      <w:proofErr w:type="spellEnd"/>
      <w:r>
        <w:t xml:space="preserve"> </w:t>
      </w:r>
    </w:p>
    <w:p w14:paraId="2575BC3D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Obiektywy do pracy z laserem UV</w:t>
      </w:r>
    </w:p>
    <w:p w14:paraId="30C32DAD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Uchwyt rewolwerowy, 7 gniazdowy, zautomatyzowany</w:t>
      </w:r>
    </w:p>
    <w:p w14:paraId="4ABC248F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Współosiowe, osobne śruby mikro/ makro do ustawienia ostrości</w:t>
      </w:r>
    </w:p>
    <w:p w14:paraId="2ED34C34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Oświetlenie LED</w:t>
      </w:r>
    </w:p>
    <w:p w14:paraId="7B1F40F3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Dwa porty optyczne do podłączenia kamer cyfrowych</w:t>
      </w:r>
    </w:p>
    <w:p w14:paraId="790BB737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Podział światła okulary / port optyczny: 100/0, 0/100</w:t>
      </w:r>
    </w:p>
    <w:p w14:paraId="5180AC72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Dotykowy panel sterujący pracą mikroskopu w podstawie urządzenia </w:t>
      </w:r>
    </w:p>
    <w:p w14:paraId="506467CE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lastRenderedPageBreak/>
        <w:t>Zautomatyzowany, 8-pozycyjny rewolwer na kostki filtrów fluorescencyjnych</w:t>
      </w:r>
    </w:p>
    <w:p w14:paraId="36EF343C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Zestaw filtrów fluorescencyjnych (kostek filtrowych) dedykowanych do współpracy z systemem mikrodysekcji laserowej oraz fluorescencji: a/ UV; b/ GFP; c/ Cy3; d/ </w:t>
      </w:r>
      <w:proofErr w:type="spellStart"/>
      <w:r>
        <w:t>Alexa</w:t>
      </w:r>
      <w:proofErr w:type="spellEnd"/>
      <w:r>
        <w:t xml:space="preserve"> 594; e/ BGR</w:t>
      </w:r>
    </w:p>
    <w:p w14:paraId="44D1642F" w14:textId="77777777" w:rsidR="00E415A1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Obiektywy - dopuszcza się rozwiązania o parametrach równoważnych lub lepszych od określonych poniżej:</w:t>
      </w:r>
    </w:p>
    <w:p w14:paraId="11B3B8F1" w14:textId="64524FEF" w:rsidR="00120090" w:rsidRDefault="00120090" w:rsidP="00E415A1">
      <w:pPr>
        <w:pStyle w:val="Akapitzlist"/>
        <w:numPr>
          <w:ilvl w:val="1"/>
          <w:numId w:val="25"/>
        </w:numPr>
        <w:spacing w:line="278" w:lineRule="auto"/>
        <w:jc w:val="both"/>
      </w:pPr>
      <w:r>
        <w:t>Obiektyw 2,5x / apertura numeryczna 0,07</w:t>
      </w:r>
    </w:p>
    <w:p w14:paraId="36CAB28B" w14:textId="77777777" w:rsidR="00120090" w:rsidRDefault="00120090" w:rsidP="00E415A1">
      <w:pPr>
        <w:pStyle w:val="Akapitzlist"/>
        <w:numPr>
          <w:ilvl w:val="1"/>
          <w:numId w:val="25"/>
        </w:numPr>
        <w:spacing w:line="278" w:lineRule="auto"/>
        <w:jc w:val="both"/>
      </w:pPr>
      <w:r>
        <w:t>Obiektyw 5x/ apertura numeryczna 0,12</w:t>
      </w:r>
    </w:p>
    <w:p w14:paraId="193052CB" w14:textId="77777777" w:rsidR="00120090" w:rsidRDefault="00120090" w:rsidP="00E415A1">
      <w:pPr>
        <w:pStyle w:val="Akapitzlist"/>
        <w:numPr>
          <w:ilvl w:val="1"/>
          <w:numId w:val="25"/>
        </w:numPr>
        <w:spacing w:line="278" w:lineRule="auto"/>
        <w:jc w:val="both"/>
      </w:pPr>
      <w:r>
        <w:t>Obiektyw 10x/ apertura numeryczna 0,32, kontrast fazowy</w:t>
      </w:r>
    </w:p>
    <w:p w14:paraId="6DE4F67B" w14:textId="097E2191" w:rsidR="00120090" w:rsidRDefault="00120090" w:rsidP="00E415A1">
      <w:pPr>
        <w:pStyle w:val="Akapitzlist"/>
        <w:numPr>
          <w:ilvl w:val="1"/>
          <w:numId w:val="25"/>
        </w:numPr>
        <w:spacing w:line="278" w:lineRule="auto"/>
        <w:jc w:val="both"/>
      </w:pPr>
      <w:r>
        <w:t>Obiektyw 20x/ apertura numeryczna 0,4</w:t>
      </w:r>
      <w:r w:rsidR="00E415A1">
        <w:t>0</w:t>
      </w:r>
      <w:r>
        <w:t>, kontrast fazowy</w:t>
      </w:r>
    </w:p>
    <w:p w14:paraId="03D0CA7E" w14:textId="1E2195D7" w:rsidR="00120090" w:rsidRDefault="00120090" w:rsidP="00E415A1">
      <w:pPr>
        <w:pStyle w:val="Akapitzlist"/>
        <w:numPr>
          <w:ilvl w:val="1"/>
          <w:numId w:val="25"/>
        </w:numPr>
        <w:spacing w:line="278" w:lineRule="auto"/>
        <w:jc w:val="both"/>
      </w:pPr>
      <w:r>
        <w:t>Obiektyw 40x/ apertura numeryczna 0,6</w:t>
      </w:r>
      <w:r w:rsidR="00E415A1">
        <w:t>0</w:t>
      </w:r>
    </w:p>
    <w:p w14:paraId="7BF4F659" w14:textId="2FFD292E" w:rsidR="00120090" w:rsidRDefault="00120090" w:rsidP="00E415A1">
      <w:pPr>
        <w:pStyle w:val="Akapitzlist"/>
        <w:numPr>
          <w:ilvl w:val="1"/>
          <w:numId w:val="25"/>
        </w:numPr>
        <w:spacing w:line="278" w:lineRule="auto"/>
        <w:jc w:val="both"/>
      </w:pPr>
      <w:r>
        <w:t>Obiektyw 63x/ apertura numeryczna 0,7</w:t>
      </w:r>
      <w:r w:rsidR="00E415A1">
        <w:t>0</w:t>
      </w:r>
    </w:p>
    <w:p w14:paraId="7F9BA578" w14:textId="77777777" w:rsidR="00120090" w:rsidRDefault="00120090" w:rsidP="00E415A1">
      <w:pPr>
        <w:pStyle w:val="Akapitzlist"/>
        <w:numPr>
          <w:ilvl w:val="1"/>
          <w:numId w:val="25"/>
        </w:numPr>
        <w:spacing w:line="278" w:lineRule="auto"/>
        <w:jc w:val="both"/>
      </w:pPr>
      <w:r>
        <w:t>Obiektyw 150x/ apertura numeryczna 0,90</w:t>
      </w:r>
    </w:p>
    <w:p w14:paraId="1127F797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proofErr w:type="spellStart"/>
      <w:r>
        <w:t>Ultraprecyzyjny</w:t>
      </w:r>
      <w:proofErr w:type="spellEnd"/>
      <w:r>
        <w:t xml:space="preserve">, szybki i cichy stolik skanujący z uchwytem na 4 szkiełka, </w:t>
      </w:r>
      <w:proofErr w:type="spellStart"/>
      <w:r>
        <w:t>multikolektorem</w:t>
      </w:r>
      <w:proofErr w:type="spellEnd"/>
      <w:r>
        <w:t xml:space="preserve"> mieszczącym do czterech standardowych probówek PCR 0,2 ml lub 0,5 ml z płaskim wieczkiem, jedną probówkę PCR 1,5 ml z wypełnionym wieczkiem do bezpośredniego pobierania, jedno wieczko do paska 8</w:t>
      </w:r>
      <w:r>
        <w:rPr>
          <w:rFonts w:ascii="Cambria Math" w:hAnsi="Cambria Math" w:cs="Cambria Math"/>
        </w:rPr>
        <w:t>‑</w:t>
      </w:r>
      <w:r>
        <w:t>do</w:t>
      </w:r>
      <w:r>
        <w:rPr>
          <w:rFonts w:ascii="Calibri" w:hAnsi="Calibri" w:cs="Calibri"/>
        </w:rPr>
        <w:t>ł</w:t>
      </w:r>
      <w:r>
        <w:t>kowego oraz jedno wieczko do paska 12</w:t>
      </w:r>
      <w:r>
        <w:rPr>
          <w:rFonts w:ascii="Cambria Math" w:hAnsi="Cambria Math" w:cs="Cambria Math"/>
        </w:rPr>
        <w:t>‑</w:t>
      </w:r>
      <w:r>
        <w:t>do</w:t>
      </w:r>
      <w:r>
        <w:rPr>
          <w:rFonts w:ascii="Calibri" w:hAnsi="Calibri" w:cs="Calibri"/>
        </w:rPr>
        <w:t>ł</w:t>
      </w:r>
      <w:r>
        <w:t>kowego jako urz</w:t>
      </w:r>
      <w:r>
        <w:rPr>
          <w:rFonts w:ascii="Calibri" w:hAnsi="Calibri" w:cs="Calibri"/>
        </w:rPr>
        <w:t>ą</w:t>
      </w:r>
      <w:r>
        <w:t>dzenia zbieraj</w:t>
      </w:r>
      <w:r>
        <w:rPr>
          <w:rFonts w:ascii="Calibri" w:hAnsi="Calibri" w:cs="Calibri"/>
        </w:rPr>
        <w:t>ą</w:t>
      </w:r>
      <w:r>
        <w:t>cego, a tak</w:t>
      </w:r>
      <w:r>
        <w:rPr>
          <w:rFonts w:ascii="Calibri" w:hAnsi="Calibri" w:cs="Calibri"/>
        </w:rPr>
        <w:t>ż</w:t>
      </w:r>
      <w:r>
        <w:t>e uchwyt na p</w:t>
      </w:r>
      <w:r>
        <w:rPr>
          <w:rFonts w:ascii="Calibri" w:hAnsi="Calibri" w:cs="Calibri"/>
        </w:rPr>
        <w:t>ł</w:t>
      </w:r>
      <w:r>
        <w:t>ytki PCR 96</w:t>
      </w:r>
      <w:r>
        <w:rPr>
          <w:rFonts w:ascii="Cambria Math" w:hAnsi="Cambria Math" w:cs="Cambria Math"/>
        </w:rPr>
        <w:t>‑</w:t>
      </w:r>
      <w:r>
        <w:t>do</w:t>
      </w:r>
      <w:r>
        <w:rPr>
          <w:rFonts w:ascii="Calibri" w:hAnsi="Calibri" w:cs="Calibri"/>
        </w:rPr>
        <w:t>ł</w:t>
      </w:r>
      <w:r>
        <w:t>kowe bez ko</w:t>
      </w:r>
      <w:r>
        <w:rPr>
          <w:rFonts w:ascii="Calibri" w:hAnsi="Calibri" w:cs="Calibri"/>
        </w:rPr>
        <w:t>ł</w:t>
      </w:r>
      <w:r>
        <w:t xml:space="preserve">nierza lub z </w:t>
      </w:r>
      <w:proofErr w:type="spellStart"/>
      <w:r>
        <w:t>p</w:t>
      </w:r>
      <w:r>
        <w:rPr>
          <w:rFonts w:ascii="Calibri" w:hAnsi="Calibri" w:cs="Calibri"/>
        </w:rPr>
        <w:t>ół</w:t>
      </w:r>
      <w:r>
        <w:t>ko</w:t>
      </w:r>
      <w:r>
        <w:rPr>
          <w:rFonts w:ascii="Calibri" w:hAnsi="Calibri" w:cs="Calibri"/>
        </w:rPr>
        <w:t>ł</w:t>
      </w:r>
      <w:r>
        <w:t>nierzem</w:t>
      </w:r>
      <w:proofErr w:type="spellEnd"/>
      <w:r>
        <w:t xml:space="preserve"> jako urz</w:t>
      </w:r>
      <w:r>
        <w:rPr>
          <w:rFonts w:ascii="Calibri" w:hAnsi="Calibri" w:cs="Calibri"/>
        </w:rPr>
        <w:t>ą</w:t>
      </w:r>
      <w:r>
        <w:t>dzenie zbieraj</w:t>
      </w:r>
      <w:r>
        <w:rPr>
          <w:rFonts w:ascii="Calibri" w:hAnsi="Calibri" w:cs="Calibri"/>
        </w:rPr>
        <w:t>ą</w:t>
      </w:r>
      <w:r>
        <w:t>ce</w:t>
      </w:r>
    </w:p>
    <w:p w14:paraId="7F70BF03" w14:textId="77777777" w:rsidR="003A621A" w:rsidRDefault="00120090" w:rsidP="003A621A">
      <w:pPr>
        <w:pStyle w:val="Akapitzlist"/>
        <w:numPr>
          <w:ilvl w:val="1"/>
          <w:numId w:val="25"/>
        </w:numPr>
        <w:spacing w:line="278" w:lineRule="auto"/>
        <w:jc w:val="both"/>
      </w:pPr>
      <w:r>
        <w:t>Górny stolik:</w:t>
      </w:r>
    </w:p>
    <w:p w14:paraId="77D2852B" w14:textId="09A4ECF5" w:rsidR="00120090" w:rsidRDefault="00120090" w:rsidP="003A621A">
      <w:pPr>
        <w:pStyle w:val="Akapitzlist"/>
        <w:numPr>
          <w:ilvl w:val="2"/>
          <w:numId w:val="25"/>
        </w:numPr>
        <w:spacing w:line="278" w:lineRule="auto"/>
        <w:jc w:val="both"/>
      </w:pPr>
      <w:r>
        <w:t>zakres ruchu: 120 mm (x1) × 80 mm (y1)</w:t>
      </w:r>
    </w:p>
    <w:p w14:paraId="624BC2AC" w14:textId="6CD6DB38" w:rsidR="00120090" w:rsidRDefault="00120090" w:rsidP="003A621A">
      <w:pPr>
        <w:pStyle w:val="Akapitzlist"/>
        <w:numPr>
          <w:ilvl w:val="2"/>
          <w:numId w:val="25"/>
        </w:numPr>
        <w:spacing w:line="278" w:lineRule="auto"/>
        <w:jc w:val="both"/>
      </w:pPr>
      <w:r>
        <w:t>powtarzalność: ≤ ±0,5 mikrometra</w:t>
      </w:r>
    </w:p>
    <w:p w14:paraId="0F782AA9" w14:textId="6B9D8784" w:rsidR="00120090" w:rsidRDefault="00120090" w:rsidP="003A621A">
      <w:pPr>
        <w:pStyle w:val="Akapitzlist"/>
        <w:numPr>
          <w:ilvl w:val="2"/>
          <w:numId w:val="25"/>
        </w:numPr>
        <w:spacing w:line="278" w:lineRule="auto"/>
        <w:jc w:val="both"/>
      </w:pPr>
      <w:r>
        <w:t>dokładność: ≤ ±2 mikrometry</w:t>
      </w:r>
    </w:p>
    <w:p w14:paraId="100957A2" w14:textId="77777777" w:rsidR="00120090" w:rsidRDefault="00120090" w:rsidP="003A621A">
      <w:pPr>
        <w:pStyle w:val="Akapitzlist"/>
        <w:numPr>
          <w:ilvl w:val="1"/>
          <w:numId w:val="25"/>
        </w:numPr>
        <w:spacing w:line="278" w:lineRule="auto"/>
        <w:jc w:val="both"/>
      </w:pPr>
      <w:r>
        <w:t>Dolny stolik (poziom kolektora):</w:t>
      </w:r>
    </w:p>
    <w:p w14:paraId="5173AB35" w14:textId="6488F70A" w:rsidR="00120090" w:rsidRDefault="00120090" w:rsidP="003A621A">
      <w:pPr>
        <w:pStyle w:val="Akapitzlist"/>
        <w:numPr>
          <w:ilvl w:val="2"/>
          <w:numId w:val="25"/>
        </w:numPr>
        <w:spacing w:line="278" w:lineRule="auto"/>
        <w:jc w:val="both"/>
      </w:pPr>
      <w:r>
        <w:t>zakres ruchu: 100 mm (x2) × 112 mm (y2)</w:t>
      </w:r>
    </w:p>
    <w:p w14:paraId="5D7BE36C" w14:textId="37920154" w:rsidR="00120090" w:rsidRDefault="00120090" w:rsidP="003A621A">
      <w:pPr>
        <w:pStyle w:val="Akapitzlist"/>
        <w:numPr>
          <w:ilvl w:val="2"/>
          <w:numId w:val="25"/>
        </w:numPr>
        <w:spacing w:line="278" w:lineRule="auto"/>
        <w:jc w:val="both"/>
      </w:pPr>
      <w:r>
        <w:t>powtarzalność: ≤ ±5 mikrometrów</w:t>
      </w:r>
    </w:p>
    <w:p w14:paraId="74D097E6" w14:textId="39689B4A" w:rsidR="00120090" w:rsidRDefault="00120090" w:rsidP="003A621A">
      <w:pPr>
        <w:pStyle w:val="Akapitzlist"/>
        <w:numPr>
          <w:ilvl w:val="2"/>
          <w:numId w:val="25"/>
        </w:numPr>
        <w:spacing w:line="278" w:lineRule="auto"/>
        <w:jc w:val="both"/>
      </w:pPr>
      <w:r>
        <w:t>dokładność: ≤ ±10 mikrometrów</w:t>
      </w:r>
    </w:p>
    <w:p w14:paraId="01604174" w14:textId="77777777" w:rsidR="00120090" w:rsidRDefault="00120090" w:rsidP="00462991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zakres prędkości: 100 </w:t>
      </w:r>
      <w:proofErr w:type="spellStart"/>
      <w:r>
        <w:t>nm</w:t>
      </w:r>
      <w:proofErr w:type="spellEnd"/>
      <w:r>
        <w:t>/s – 200 mm/s</w:t>
      </w:r>
    </w:p>
    <w:p w14:paraId="0EC33475" w14:textId="60A54615" w:rsidR="00120090" w:rsidRDefault="00120090" w:rsidP="00462991">
      <w:pPr>
        <w:pStyle w:val="Akapitzlist"/>
        <w:numPr>
          <w:ilvl w:val="1"/>
          <w:numId w:val="25"/>
        </w:numPr>
        <w:spacing w:line="278" w:lineRule="auto"/>
        <w:jc w:val="both"/>
      </w:pPr>
      <w:r>
        <w:t>zakres przyspieszenia: 100 µm/s² – 1 m/s²</w:t>
      </w:r>
    </w:p>
    <w:p w14:paraId="71C01603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Kondensor: apertura numeryczna 0,55, ze zautomatyzowaną 7-pozycyjną tarczą dla przysłon fazowych</w:t>
      </w:r>
    </w:p>
    <w:p w14:paraId="7119630E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Podstawa antywibracyjna pod mikroskop</w:t>
      </w:r>
    </w:p>
    <w:p w14:paraId="1128287C" w14:textId="56BF82EC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Lampa fluorescencyjna, o mocy co najmniej 100W, połączona z mikroskopem za</w:t>
      </w:r>
      <w:r w:rsidR="00482905">
        <w:t xml:space="preserve"> </w:t>
      </w:r>
      <w:r>
        <w:t>pomocą światłowodu</w:t>
      </w:r>
    </w:p>
    <w:p w14:paraId="4CA5CD60" w14:textId="0C0E7DB8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Kamera cyfrowa, monochromatyczna z systemem pasywnego chłodzenia, rozdzielczość 2048x2048 </w:t>
      </w:r>
      <w:proofErr w:type="spellStart"/>
      <w:r>
        <w:t>pixela</w:t>
      </w:r>
      <w:proofErr w:type="spellEnd"/>
      <w:r>
        <w:t xml:space="preserve">, wielkość </w:t>
      </w:r>
      <w:proofErr w:type="spellStart"/>
      <w:r>
        <w:t>pixela</w:t>
      </w:r>
      <w:proofErr w:type="spellEnd"/>
      <w:r>
        <w:t xml:space="preserve"> 2,4 </w:t>
      </w:r>
      <w:proofErr w:type="spellStart"/>
      <w:r>
        <w:t>μm</w:t>
      </w:r>
      <w:proofErr w:type="spellEnd"/>
      <w:r>
        <w:t xml:space="preserve"> x 2,4 </w:t>
      </w:r>
      <w:proofErr w:type="spellStart"/>
      <w:r>
        <w:t>μm</w:t>
      </w:r>
      <w:proofErr w:type="spellEnd"/>
    </w:p>
    <w:p w14:paraId="0FC4BBC9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Kolorowa kamera cyfrowa 7,1 </w:t>
      </w:r>
      <w:proofErr w:type="spellStart"/>
      <w:r>
        <w:t>Megapixel</w:t>
      </w:r>
      <w:proofErr w:type="spellEnd"/>
      <w:r>
        <w:t xml:space="preserve">; 3200x 2200 (7mp) przekątna 17,5 mm; wielkość </w:t>
      </w:r>
      <w:proofErr w:type="spellStart"/>
      <w:r>
        <w:t>pixela</w:t>
      </w:r>
      <w:proofErr w:type="spellEnd"/>
      <w:r>
        <w:t xml:space="preserve">: 4.5 </w:t>
      </w:r>
      <w:proofErr w:type="spellStart"/>
      <w:r>
        <w:t>μm</w:t>
      </w:r>
      <w:proofErr w:type="spellEnd"/>
      <w:r>
        <w:t xml:space="preserve">; filtr barwny: RGB (Bayer), czas ekspozycji: 1 ms - 30 s; Zakres dynamiczny: &gt;72 </w:t>
      </w:r>
      <w:proofErr w:type="spellStart"/>
      <w:r>
        <w:t>dB</w:t>
      </w:r>
      <w:proofErr w:type="spellEnd"/>
      <w:r>
        <w:t xml:space="preserve"> 4,200:1</w:t>
      </w:r>
    </w:p>
    <w:p w14:paraId="0964D4AE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Stacja badawcza </w:t>
      </w:r>
    </w:p>
    <w:p w14:paraId="7C3FD5B3" w14:textId="36F567BC" w:rsidR="00120090" w:rsidRDefault="00120090" w:rsidP="00966C4B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Stacja badawcza do </w:t>
      </w:r>
      <w:r w:rsidR="00966C4B">
        <w:t>st</w:t>
      </w:r>
      <w:r>
        <w:t>erowania pracą systemu mikrodysekcji laserowej i do zaawansowanej analizy danych, wyposażona we wszystkie elementy peryferyjne, okablowanie i akcesoria niezbędne do pracy systemu.</w:t>
      </w:r>
    </w:p>
    <w:p w14:paraId="37F62099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lastRenderedPageBreak/>
        <w:t>Stacja badawcza musi być fabrycznie nowa, kompletna, w pełni skonfigurowana i przygotowana do pracy z oferowanym systemem mikrodysekcji laserowej oraz z całym dostarczanym oprogramowaniem.</w:t>
      </w:r>
    </w:p>
    <w:p w14:paraId="784D6F10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t>Parametry sprzętowe stacji badawczej, w szczególności procesor, pamięć operacyjna RAM, karta graficzna, przestrzeń dyskowa, interfejsy komunikacyjne oraz system operacyjny, muszą być zgodne z wymaganiami producenta aparatury i oprogramowania oraz zapewniać stabilną, płynną i bezpieczną pracę całego systemu</w:t>
      </w:r>
    </w:p>
    <w:p w14:paraId="4DAA9EB7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t>Konfiguracja stacji badawczej musi uwzględniać nie tylko aktualne wymagania dostarczanego oprogramowania, lecz również zapewniać odpowiedni zapas wydajności umożliwiający obsługę aktualizacji oraz kolejnych wersji oprogramowania producenta w okresie co najmniej 2 lat od daty instalacji systemu. Wykonawca zobowiązany jest dostarczyć stację badawczą o parametrach nie niższych niż rekomendowane przez producenta aparatury i oprogramowania dla pełnej funkcjonalności oferowanego systemu.</w:t>
      </w:r>
    </w:p>
    <w:p w14:paraId="2597AD85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Całość musi być w pełni kompatybilna z oferowanym oprogramowaniem, urządzeniami oraz akcesoriami. Wykonawca odpowiada za prawidłową integrację stacji badawczej, urządzeń peryferyjnych i oprogramowania z dostarczanym systemem oraz za zapewnienie ich poprawnego działania po instalacji. </w:t>
      </w:r>
    </w:p>
    <w:p w14:paraId="46E89564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Dotykowy monitor z rysikiem graficznym o minimalnej przekątnej 22”</w:t>
      </w:r>
    </w:p>
    <w:p w14:paraId="63B80181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>Moduł mrożący</w:t>
      </w:r>
    </w:p>
    <w:p w14:paraId="251EAC73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Wysoce wydajny, półautomatyczny kriostat do zamrażania i szybkiego cięcia preparatów. </w:t>
      </w:r>
    </w:p>
    <w:p w14:paraId="24CA718D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Urządzenie wolnostojące. </w:t>
      </w:r>
    </w:p>
    <w:p w14:paraId="0572E36D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Komora kriostatu wykonana z materiałów odpornych na korozję, wyposażona w niezależne źródło światła LED. </w:t>
      </w:r>
    </w:p>
    <w:p w14:paraId="238B7EBA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Podgrzewane, ruchome, szklane okno przesuwne z możliwością wyjęcia do czyszczenia i dezynfekcji. </w:t>
      </w:r>
    </w:p>
    <w:p w14:paraId="39896CE7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Dźwignia blokady ręcznego koła napędowego obsługiwana kciukiem, umożliwiająca zablokowanie koła w pozycji górnej (godzina 12) lub dolnej (godzina 6). </w:t>
      </w:r>
    </w:p>
    <w:p w14:paraId="6823B0C2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Koło zamachowe pokryte powłoką przeciwbakteryjną. </w:t>
      </w:r>
    </w:p>
    <w:p w14:paraId="3C40F052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Urządzenie wyposażone w kółka ułatwiające przesuwanie oraz nóżki poziomujące. </w:t>
      </w:r>
    </w:p>
    <w:p w14:paraId="22505E92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t>System dezynfekcji komory promieniowaniem UVC, z dwoma czasami pracy (30 min i 180 min), z mechanizmem bezpieczeństwa (praca tylko przy zamknięciu zasuwanego okna) oraz automatycznym ponownym uruchamianiem dezynfekcji w przypadku przerwy w zasilaniu.</w:t>
      </w:r>
    </w:p>
    <w:p w14:paraId="02EB7753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Dwa panele sterowania: górny z czterema wyświetlaczami LED, niebieską diodą elementu </w:t>
      </w:r>
      <w:proofErr w:type="spellStart"/>
      <w:r>
        <w:t>Peltier</w:t>
      </w:r>
      <w:proofErr w:type="spellEnd"/>
      <w:r>
        <w:t xml:space="preserve">, żółtą diodą retrakcji i dwoma diodami dezynfekcji UVC oraz boczny po lewej stronie urządzenia z dwoma diodami LED. </w:t>
      </w:r>
    </w:p>
    <w:p w14:paraId="1E4D635A" w14:textId="77777777" w:rsidR="00120090" w:rsidRDefault="00120090" w:rsidP="00345920">
      <w:pPr>
        <w:pStyle w:val="Akapitzlist"/>
        <w:numPr>
          <w:ilvl w:val="1"/>
          <w:numId w:val="25"/>
        </w:numPr>
        <w:spacing w:line="278" w:lineRule="auto"/>
        <w:jc w:val="both"/>
      </w:pPr>
      <w:r>
        <w:t>Funkcje obsługiwane przez górny panel sterowania:</w:t>
      </w:r>
    </w:p>
    <w:p w14:paraId="19E93E64" w14:textId="17B27853" w:rsidR="00120090" w:rsidRDefault="00120090" w:rsidP="00345920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Włączanie i wyłączanie oświetlenia </w:t>
      </w:r>
    </w:p>
    <w:p w14:paraId="240B3997" w14:textId="60F822C7" w:rsidR="00120090" w:rsidRDefault="00120090" w:rsidP="00345920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Włączanie i wyłączanie ręcznego </w:t>
      </w:r>
      <w:proofErr w:type="spellStart"/>
      <w:r>
        <w:t>odszraniania</w:t>
      </w:r>
      <w:proofErr w:type="spellEnd"/>
      <w:r>
        <w:t xml:space="preserve"> parownika </w:t>
      </w:r>
    </w:p>
    <w:p w14:paraId="5DAD1AFA" w14:textId="139ACFF5" w:rsidR="00120090" w:rsidRDefault="00120090" w:rsidP="00345920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Ustawianie czasu </w:t>
      </w:r>
      <w:proofErr w:type="spellStart"/>
      <w:r>
        <w:t>odszraniania</w:t>
      </w:r>
      <w:proofErr w:type="spellEnd"/>
      <w:r>
        <w:t xml:space="preserve"> parownika w skokach co 15 minut </w:t>
      </w:r>
    </w:p>
    <w:p w14:paraId="54F0C518" w14:textId="4F860E46" w:rsidR="00120090" w:rsidRDefault="00120090" w:rsidP="00345920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Włączanie i wyłączanie ręcznego </w:t>
      </w:r>
      <w:proofErr w:type="spellStart"/>
      <w:r>
        <w:t>odszraniania</w:t>
      </w:r>
      <w:proofErr w:type="spellEnd"/>
      <w:r>
        <w:t xml:space="preserve"> półki szybkiego zamrażania wraz z elementem </w:t>
      </w:r>
      <w:proofErr w:type="spellStart"/>
      <w:r>
        <w:t>Peltier</w:t>
      </w:r>
      <w:proofErr w:type="spellEnd"/>
      <w:r>
        <w:t xml:space="preserve"> </w:t>
      </w:r>
    </w:p>
    <w:p w14:paraId="33C60AD4" w14:textId="7CCB64E6" w:rsidR="00120090" w:rsidRDefault="00120090" w:rsidP="000E4265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Włączanie i wyłączanie elementu </w:t>
      </w:r>
      <w:proofErr w:type="spellStart"/>
      <w:r>
        <w:t>Peltier</w:t>
      </w:r>
      <w:proofErr w:type="spellEnd"/>
      <w:r>
        <w:t xml:space="preserve"> </w:t>
      </w:r>
    </w:p>
    <w:p w14:paraId="4F9A2A13" w14:textId="3C083F8F" w:rsidR="00120090" w:rsidRDefault="00120090" w:rsidP="000E4265">
      <w:pPr>
        <w:pStyle w:val="Akapitzlist"/>
        <w:numPr>
          <w:ilvl w:val="2"/>
          <w:numId w:val="25"/>
        </w:numPr>
        <w:spacing w:line="278" w:lineRule="auto"/>
        <w:jc w:val="both"/>
      </w:pPr>
      <w:r>
        <w:lastRenderedPageBreak/>
        <w:t xml:space="preserve">Blokowanie i odblokowywanie panelu sterowania (przy zablokowanym panelu możliwe jest uruchomienie i wyłączenie dezynfekcji UVC). </w:t>
      </w:r>
    </w:p>
    <w:p w14:paraId="684D0A8B" w14:textId="1A49C215" w:rsidR="00120090" w:rsidRDefault="00120090" w:rsidP="000E4265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Ustawianie i wyświetlanie czasu </w:t>
      </w:r>
    </w:p>
    <w:p w14:paraId="6E9A690F" w14:textId="2A0C324D" w:rsidR="00120090" w:rsidRDefault="00120090" w:rsidP="000E4265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ustawianie i wyświetlanie temperatury komory </w:t>
      </w:r>
    </w:p>
    <w:p w14:paraId="34BD5A3D" w14:textId="56DBB4D8" w:rsidR="00120090" w:rsidRDefault="00120090" w:rsidP="000E4265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ustawianie i wyświetlanie grubości skrawków </w:t>
      </w:r>
    </w:p>
    <w:p w14:paraId="5F3B9E51" w14:textId="5EEB634B" w:rsidR="00120090" w:rsidRDefault="00120090" w:rsidP="000E4265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włączanie i wyłączanie funkcji retrakcji </w:t>
      </w:r>
    </w:p>
    <w:p w14:paraId="0D356032" w14:textId="1AE89E3F" w:rsidR="00120090" w:rsidRDefault="00120090" w:rsidP="000E4265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włączanie i wyłączanie dezynfekcji UVC </w:t>
      </w:r>
    </w:p>
    <w:p w14:paraId="53B81EAD" w14:textId="77777777" w:rsidR="00120090" w:rsidRDefault="00120090" w:rsidP="000E4265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Funkcje obsługiwane przez boczny panel sterowania: 1. Odsuwanie i przysuwanie preparatów od i do noża z dwoma prędkościami: wolna 600μm oraz szybka 900μm. </w:t>
      </w:r>
    </w:p>
    <w:p w14:paraId="597DBBBF" w14:textId="77777777" w:rsidR="00120090" w:rsidRDefault="00120090" w:rsidP="000E4265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Wizualne ostrzeżenie w czasie ruchu głowicy migającą górną diodą LED. </w:t>
      </w:r>
    </w:p>
    <w:p w14:paraId="4798739D" w14:textId="77777777" w:rsidR="00120090" w:rsidRDefault="00120090" w:rsidP="000E4265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Ostrzeżenie o osiągnięciu przedniej i tylnej pozycji granicznej dolną diodą LED. </w:t>
      </w:r>
    </w:p>
    <w:p w14:paraId="3E983716" w14:textId="77777777" w:rsidR="00120090" w:rsidRDefault="00120090" w:rsidP="000E4265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Zakres regulacji temperatury kriostatu wynosi od 0oC do –35oC w skokach co 1°C. </w:t>
      </w:r>
    </w:p>
    <w:p w14:paraId="708613CB" w14:textId="45EC34F7" w:rsidR="00120090" w:rsidRDefault="00120090" w:rsidP="000E4265">
      <w:pPr>
        <w:pStyle w:val="Akapitzlist"/>
        <w:numPr>
          <w:ilvl w:val="1"/>
          <w:numId w:val="25"/>
        </w:numPr>
        <w:spacing w:line="278" w:lineRule="auto"/>
        <w:jc w:val="both"/>
      </w:pPr>
      <w:r>
        <w:t>Czas schładzania do –35oC maksymalnie 6 godzin w temperaturze otoczenia 22</w:t>
      </w:r>
      <w:r w:rsidR="000E4265">
        <w:t>°</w:t>
      </w:r>
      <w:r>
        <w:t xml:space="preserve">C. </w:t>
      </w:r>
    </w:p>
    <w:p w14:paraId="69709C22" w14:textId="0A050905" w:rsidR="00120090" w:rsidRDefault="00120090" w:rsidP="000E4265">
      <w:pPr>
        <w:pStyle w:val="Akapitzlist"/>
        <w:numPr>
          <w:ilvl w:val="1"/>
          <w:numId w:val="25"/>
        </w:numPr>
        <w:spacing w:line="278" w:lineRule="auto"/>
        <w:jc w:val="both"/>
      </w:pPr>
      <w:r>
        <w:t>Urządzenie posiada półkę szybkiego zamrażania na 8 podstaw</w:t>
      </w:r>
      <w:r w:rsidR="003E0159">
        <w:t>ek</w:t>
      </w:r>
      <w:r>
        <w:t xml:space="preserve"> z preparatami, której temperatura jest zawsze niższa niż temperatura w komorze i osiąga wartość –40°C, przy temperaturze komory –35°C oraz przy temperaturze otoczenia 22°C. </w:t>
      </w:r>
    </w:p>
    <w:p w14:paraId="2022C47B" w14:textId="77777777" w:rsidR="00120090" w:rsidRDefault="00120090" w:rsidP="003E015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Urządzenie posiada stację </w:t>
      </w:r>
      <w:proofErr w:type="spellStart"/>
      <w:r>
        <w:t>Peltiera</w:t>
      </w:r>
      <w:proofErr w:type="spellEnd"/>
      <w:r>
        <w:t xml:space="preserve"> na 2 podstawki z preparatami, która osiąga temperaturę do -52°C przy temperaturze komory -35°C. Cykl pracy stacji to 10 minut, ręczne wyłączenie jest możliwe po 6 minutach działania. Po włączeniu zaświeca się niebieska dioda w symbolu elementu </w:t>
      </w:r>
      <w:proofErr w:type="spellStart"/>
      <w:r>
        <w:t>Peltier</w:t>
      </w:r>
      <w:proofErr w:type="spellEnd"/>
      <w:r>
        <w:t xml:space="preserve"> na górnym panelu sterowania oraz rozpoczyna się odliczanie czasu pracy stacji (10 min). Maksymalna temperatura chłodzenia elementu osiągana jest po około 60 sekundach od włączenia. </w:t>
      </w:r>
    </w:p>
    <w:p w14:paraId="70D86D62" w14:textId="77777777" w:rsidR="00120090" w:rsidRDefault="00120090" w:rsidP="003E015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Ruchoma osłona półki zamrażania obejmująca również stację </w:t>
      </w:r>
      <w:proofErr w:type="spellStart"/>
      <w:r>
        <w:t>Peltiera</w:t>
      </w:r>
      <w:proofErr w:type="spellEnd"/>
      <w:r>
        <w:t xml:space="preserve">. </w:t>
      </w:r>
    </w:p>
    <w:p w14:paraId="39E94C7A" w14:textId="77777777" w:rsidR="00120090" w:rsidRDefault="00120090" w:rsidP="003E015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Taca na odpadki. </w:t>
      </w:r>
    </w:p>
    <w:p w14:paraId="4627B22C" w14:textId="77777777" w:rsidR="00120090" w:rsidRDefault="00120090" w:rsidP="003E015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Trzy półki: </w:t>
      </w:r>
    </w:p>
    <w:p w14:paraId="08EF85E7" w14:textId="2CFC6BB3" w:rsidR="007A6816" w:rsidRDefault="00120090" w:rsidP="007A6816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Prawa półka na narzędzia obejmująca półkę szybkiego zamrażania wraz z pokrywą </w:t>
      </w:r>
    </w:p>
    <w:p w14:paraId="25D275D6" w14:textId="5ED9A5FB" w:rsidR="007A6816" w:rsidRDefault="00120090" w:rsidP="007A6816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Lewa półka na narzędzia </w:t>
      </w:r>
    </w:p>
    <w:p w14:paraId="0401F190" w14:textId="553ECB9B" w:rsidR="00120090" w:rsidRDefault="00120090" w:rsidP="007A6816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Wyprofilowana półka na pędzelki </w:t>
      </w:r>
    </w:p>
    <w:p w14:paraId="599CDA08" w14:textId="77777777" w:rsidR="00120090" w:rsidRDefault="00120090" w:rsidP="007A6816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Podstawki na preparaty wyposażone w gumowe o-ringi umożliwiające uchwycenie palcami bez ryzyka odmrożenia. </w:t>
      </w:r>
    </w:p>
    <w:p w14:paraId="71655200" w14:textId="6515EC79" w:rsidR="00120090" w:rsidRDefault="00120090" w:rsidP="007A6816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Niezależne </w:t>
      </w:r>
      <w:proofErr w:type="spellStart"/>
      <w:r>
        <w:t>odszranianie</w:t>
      </w:r>
      <w:proofErr w:type="spellEnd"/>
      <w:r>
        <w:t xml:space="preserve"> parownika oraz półki szybkiego zamrażania. Czas trwania obu procesów – 12 minut. Chłodzenie półki szybkiego zamrażania w czasie </w:t>
      </w:r>
      <w:proofErr w:type="spellStart"/>
      <w:r>
        <w:t>odszraniania</w:t>
      </w:r>
      <w:proofErr w:type="spellEnd"/>
      <w:r>
        <w:t>..</w:t>
      </w:r>
    </w:p>
    <w:p w14:paraId="5707B5D2" w14:textId="77777777" w:rsidR="00120090" w:rsidRDefault="00120090" w:rsidP="007A6816">
      <w:pPr>
        <w:pStyle w:val="Akapitzlist"/>
        <w:numPr>
          <w:ilvl w:val="1"/>
          <w:numId w:val="25"/>
        </w:numPr>
        <w:spacing w:line="278" w:lineRule="auto"/>
        <w:jc w:val="both"/>
      </w:pPr>
      <w:proofErr w:type="spellStart"/>
      <w:r>
        <w:t>Odszranianie</w:t>
      </w:r>
      <w:proofErr w:type="spellEnd"/>
      <w:r>
        <w:t xml:space="preserve"> parownika może być wykonywane ręcznie lub zaprogramowane automatycznie. </w:t>
      </w:r>
    </w:p>
    <w:p w14:paraId="5DD721D0" w14:textId="77777777" w:rsidR="00120090" w:rsidRDefault="00120090" w:rsidP="007A6816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Parownik odszraniany gorącym powietrzem </w:t>
      </w:r>
    </w:p>
    <w:p w14:paraId="21391151" w14:textId="77777777" w:rsidR="00120090" w:rsidRDefault="00120090" w:rsidP="007A6816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Skropliny usuwane do pojemnika umieszczonego z przodu </w:t>
      </w:r>
      <w:proofErr w:type="spellStart"/>
      <w:r>
        <w:t>urządzenia.Mikrotom</w:t>
      </w:r>
      <w:proofErr w:type="spellEnd"/>
      <w:r>
        <w:t xml:space="preserve"> ze stali nierdzewnej, bezobsługowy. </w:t>
      </w:r>
    </w:p>
    <w:p w14:paraId="255A015B" w14:textId="77777777" w:rsidR="00120090" w:rsidRDefault="00120090" w:rsidP="007A6816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Zakres grubości cięcia wynosi od 1 </w:t>
      </w:r>
      <w:proofErr w:type="spellStart"/>
      <w:r>
        <w:t>μm</w:t>
      </w:r>
      <w:proofErr w:type="spellEnd"/>
      <w:r>
        <w:t xml:space="preserve"> do 100 </w:t>
      </w:r>
      <w:proofErr w:type="spellStart"/>
      <w:r>
        <w:t>μm</w:t>
      </w:r>
      <w:proofErr w:type="spellEnd"/>
      <w:r>
        <w:t xml:space="preserve">: </w:t>
      </w:r>
    </w:p>
    <w:p w14:paraId="08F2CAFE" w14:textId="03792937" w:rsidR="00120090" w:rsidRDefault="00120090" w:rsidP="00911A42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od 1 </w:t>
      </w:r>
      <w:proofErr w:type="spellStart"/>
      <w:r>
        <w:t>μm</w:t>
      </w:r>
      <w:proofErr w:type="spellEnd"/>
      <w:r>
        <w:t xml:space="preserve"> do 5 </w:t>
      </w:r>
      <w:proofErr w:type="spellStart"/>
      <w:r>
        <w:t>μm</w:t>
      </w:r>
      <w:proofErr w:type="spellEnd"/>
      <w:r>
        <w:t xml:space="preserve"> w krokach co 0,5 </w:t>
      </w:r>
      <w:proofErr w:type="spellStart"/>
      <w:r>
        <w:t>μm</w:t>
      </w:r>
      <w:proofErr w:type="spellEnd"/>
      <w:r>
        <w:t xml:space="preserve"> </w:t>
      </w:r>
    </w:p>
    <w:p w14:paraId="656217F6" w14:textId="52D4AD71" w:rsidR="00120090" w:rsidRDefault="00120090" w:rsidP="00911A42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od 5 </w:t>
      </w:r>
      <w:proofErr w:type="spellStart"/>
      <w:r>
        <w:t>μm</w:t>
      </w:r>
      <w:proofErr w:type="spellEnd"/>
      <w:r>
        <w:t xml:space="preserve"> do 20 </w:t>
      </w:r>
      <w:proofErr w:type="spellStart"/>
      <w:r>
        <w:t>μm</w:t>
      </w:r>
      <w:proofErr w:type="spellEnd"/>
      <w:r>
        <w:t xml:space="preserve"> w krokach co 1 </w:t>
      </w:r>
      <w:proofErr w:type="spellStart"/>
      <w:r>
        <w:t>μm</w:t>
      </w:r>
      <w:proofErr w:type="spellEnd"/>
      <w:r>
        <w:t xml:space="preserve"> </w:t>
      </w:r>
    </w:p>
    <w:p w14:paraId="7F3E2037" w14:textId="00CFD4B8" w:rsidR="00120090" w:rsidRDefault="00120090" w:rsidP="00911A42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od 20 </w:t>
      </w:r>
      <w:proofErr w:type="spellStart"/>
      <w:r>
        <w:t>μm</w:t>
      </w:r>
      <w:proofErr w:type="spellEnd"/>
      <w:r>
        <w:t xml:space="preserve"> do 60 </w:t>
      </w:r>
      <w:proofErr w:type="spellStart"/>
      <w:r>
        <w:t>μm</w:t>
      </w:r>
      <w:proofErr w:type="spellEnd"/>
      <w:r>
        <w:t xml:space="preserve"> w krokach co 5 </w:t>
      </w:r>
      <w:proofErr w:type="spellStart"/>
      <w:r>
        <w:t>μm</w:t>
      </w:r>
      <w:proofErr w:type="spellEnd"/>
      <w:r>
        <w:t xml:space="preserve"> </w:t>
      </w:r>
    </w:p>
    <w:p w14:paraId="0D66D4BF" w14:textId="31E41C8F" w:rsidR="00120090" w:rsidRDefault="00120090" w:rsidP="00911A42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od 60 </w:t>
      </w:r>
      <w:proofErr w:type="spellStart"/>
      <w:r>
        <w:t>μm</w:t>
      </w:r>
      <w:proofErr w:type="spellEnd"/>
      <w:r>
        <w:t xml:space="preserve"> do 100 </w:t>
      </w:r>
      <w:proofErr w:type="spellStart"/>
      <w:r>
        <w:t>μm</w:t>
      </w:r>
      <w:proofErr w:type="spellEnd"/>
      <w:r>
        <w:t xml:space="preserve"> w krokach co 10μm </w:t>
      </w:r>
    </w:p>
    <w:p w14:paraId="3CFC531E" w14:textId="77777777" w:rsidR="00120090" w:rsidRDefault="00120090" w:rsidP="00911A42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Zakres ruchu poziomego głowicy: 25 mm, +/- 3 mm </w:t>
      </w:r>
    </w:p>
    <w:p w14:paraId="370D746D" w14:textId="77777777" w:rsidR="00120090" w:rsidRDefault="00120090" w:rsidP="00911A42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Zakres ruchu pionowego głowicy: 59 mm, +/- 1mm </w:t>
      </w:r>
    </w:p>
    <w:p w14:paraId="1A383ADD" w14:textId="77777777" w:rsidR="00120090" w:rsidRDefault="00120090" w:rsidP="00404AA6">
      <w:pPr>
        <w:pStyle w:val="Akapitzlist"/>
        <w:numPr>
          <w:ilvl w:val="1"/>
          <w:numId w:val="25"/>
        </w:numPr>
        <w:spacing w:line="278" w:lineRule="auto"/>
        <w:jc w:val="both"/>
      </w:pPr>
      <w:r>
        <w:lastRenderedPageBreak/>
        <w:t xml:space="preserve">Funkcja retrakcji o stałym parametrze 20μm, z możliwością wyłączenia. </w:t>
      </w:r>
    </w:p>
    <w:p w14:paraId="7A36EBC6" w14:textId="77777777" w:rsidR="00120090" w:rsidRDefault="00120090" w:rsidP="00404AA6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Głowica na preparaty z systemem zaciskowym składającym się z jednej dźwigni służącej do mocowania podstawka z preparatem. </w:t>
      </w:r>
    </w:p>
    <w:p w14:paraId="280013AD" w14:textId="45BA8205" w:rsidR="00120090" w:rsidRDefault="00120090" w:rsidP="00404AA6">
      <w:pPr>
        <w:pStyle w:val="Akapitzlist"/>
        <w:numPr>
          <w:ilvl w:val="1"/>
          <w:numId w:val="25"/>
        </w:numPr>
        <w:spacing w:line="278" w:lineRule="auto"/>
        <w:jc w:val="both"/>
      </w:pPr>
      <w:r>
        <w:t>Możliwość przestrzennej regulacji położenia głowicy z preparatem o 8o (X/Y) i obrót o 360</w:t>
      </w:r>
      <w:r w:rsidR="00725929">
        <w:t>°</w:t>
      </w:r>
      <w:r>
        <w:t xml:space="preserve"> </w:t>
      </w:r>
    </w:p>
    <w:p w14:paraId="25FF9A5B" w14:textId="77777777" w:rsidR="00120090" w:rsidRDefault="00120090" w:rsidP="00404AA6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System precyzyjnej orientacji przestrzennej głowicy ze wskazaniami zmian położenia co 2º oraz wskaźnikiem położenia 0/0º. </w:t>
      </w:r>
    </w:p>
    <w:p w14:paraId="59D16BF9" w14:textId="77777777" w:rsidR="00120090" w:rsidRDefault="00120090" w:rsidP="00404AA6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Urządzenie wyposażone w uchwyt na ostrza jednorazowe stalowe lub wolframowe oraz noże stalowe i wolframowe do wielokrotnego ostrzenia. </w:t>
      </w:r>
    </w:p>
    <w:p w14:paraId="52282445" w14:textId="1E3BFEC5" w:rsidR="00120090" w:rsidRDefault="00120090" w:rsidP="00404AA6">
      <w:pPr>
        <w:pStyle w:val="Akapitzlist"/>
        <w:numPr>
          <w:ilvl w:val="1"/>
          <w:numId w:val="25"/>
        </w:numPr>
        <w:spacing w:line="278" w:lineRule="auto"/>
        <w:jc w:val="both"/>
      </w:pPr>
      <w:r>
        <w:t>Uchwyt na ostrza jednorazowe stalowe</w:t>
      </w:r>
      <w:r w:rsidR="00725929">
        <w:t>,</w:t>
      </w:r>
      <w:r>
        <w:t xml:space="preserve"> </w:t>
      </w:r>
      <w:r w:rsidR="00725929">
        <w:t>m</w:t>
      </w:r>
      <w:r>
        <w:t xml:space="preserve">ożliwość zamontowania ostrzy </w:t>
      </w:r>
      <w:proofErr w:type="spellStart"/>
      <w:r>
        <w:t>niskoprofilowych</w:t>
      </w:r>
      <w:proofErr w:type="spellEnd"/>
      <w:r>
        <w:t xml:space="preserve"> i wysokoprofilowych. </w:t>
      </w:r>
    </w:p>
    <w:p w14:paraId="69044BB9" w14:textId="77777777" w:rsidR="00120090" w:rsidRDefault="00120090" w:rsidP="0072592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Możliwość przesunięcia bocznego w celu równomiernego wykorzystania całej długości ostrza. </w:t>
      </w:r>
    </w:p>
    <w:p w14:paraId="64D9DE2F" w14:textId="77777777" w:rsidR="00120090" w:rsidRDefault="00120090" w:rsidP="0072592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Ochrona ostrza poprzez płytkę szklaną systemu prowadnicy antypoślizgowej. </w:t>
      </w:r>
    </w:p>
    <w:p w14:paraId="152D9315" w14:textId="77777777" w:rsidR="00120090" w:rsidRDefault="00120090" w:rsidP="0072592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Podpórka dla dłoni. </w:t>
      </w:r>
    </w:p>
    <w:p w14:paraId="10705696" w14:textId="77777777" w:rsidR="00120090" w:rsidRDefault="00120090" w:rsidP="000A3F6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Możliwość zamontowania i wyregulowania wysokości noży wielokrotnie ostrzonych. </w:t>
      </w:r>
    </w:p>
    <w:p w14:paraId="40B676AF" w14:textId="77777777" w:rsidR="00120090" w:rsidRDefault="00120090" w:rsidP="000A3F6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Czerwona osłona ostrza z uchwytami umożliwiającymi przesuwanie. </w:t>
      </w:r>
    </w:p>
    <w:p w14:paraId="32F3E846" w14:textId="77777777" w:rsidR="00120090" w:rsidRDefault="00120090" w:rsidP="000A3F6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Szczęki zaciskowe zamontowane w odległości 64mm od siebie, jeżeli skrawany preparat jest większy można je rozsunąć do odległości maksymalnej 84mm. </w:t>
      </w:r>
    </w:p>
    <w:p w14:paraId="522290F5" w14:textId="77777777" w:rsidR="00120090" w:rsidRDefault="00120090" w:rsidP="000A3F6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System prowadnicy antypoślizgowej z możliwością przesunięcia bocznego (przy ustawieniu szczęk zaciskowych na 84mm), z wyczuwalną pozycją środkową. </w:t>
      </w:r>
    </w:p>
    <w:p w14:paraId="131FE471" w14:textId="77777777" w:rsidR="00120090" w:rsidRDefault="00120090" w:rsidP="000A3F6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Wsporniki dla krótkich i długich noży. </w:t>
      </w:r>
    </w:p>
    <w:p w14:paraId="498B89EF" w14:textId="77777777" w:rsidR="00120090" w:rsidRDefault="00120090" w:rsidP="000A3F6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Uchwyt na noże stalowe i wolframowe: </w:t>
      </w:r>
    </w:p>
    <w:p w14:paraId="09376939" w14:textId="77777777" w:rsidR="00120090" w:rsidRDefault="00120090" w:rsidP="000A3F6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Regulacja kąta natarcia ostrza w zakresie od 0° do 10°. Zalecane ustawienie dla ostrzy jednorazowych stalowych oraz wolframowych to 2°- 5°, dla noży 4° - 6°. </w:t>
      </w:r>
    </w:p>
    <w:p w14:paraId="2DCC698E" w14:textId="77777777" w:rsidR="00120090" w:rsidRDefault="00120090" w:rsidP="000A3F6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System prowadnicy antypoślizgowej chroniącej przed rolowaniem się skrawków w czasie cięcia oraz pełniącej funkcję ochrony ostrza. Możliwość regulacji położenia płytki szklanej w zależności od kąta natarcia ostrza oraz od stosowanej grubości skrawków. </w:t>
      </w:r>
    </w:p>
    <w:p w14:paraId="15FA28C2" w14:textId="77777777" w:rsidR="00120090" w:rsidRDefault="00120090" w:rsidP="000A3F69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Wymienna płytka szklana zmniejszająca poświatę, o długości 70mm – możliwość wykorzystania wszystkich czterech długich krawędzi płytki </w:t>
      </w:r>
    </w:p>
    <w:p w14:paraId="38FA487C" w14:textId="77777777" w:rsidR="00120090" w:rsidRDefault="00120090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Zasilacz awaryjny UPS do systemu. </w:t>
      </w:r>
    </w:p>
    <w:p w14:paraId="1B0D8C35" w14:textId="77777777" w:rsidR="00DB179B" w:rsidRPr="002E6099" w:rsidRDefault="00DB179B" w:rsidP="001D6C2D">
      <w:pPr>
        <w:pStyle w:val="Akapitzlist"/>
        <w:numPr>
          <w:ilvl w:val="0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 xml:space="preserve">W związku z realizacją wskaźnika środowiskowego projektu oraz zasadą </w:t>
      </w:r>
      <w:proofErr w:type="spellStart"/>
      <w:r w:rsidRPr="002E6099">
        <w:rPr>
          <w:color w:val="000000" w:themeColor="text1"/>
        </w:rPr>
        <w:t>Rethink</w:t>
      </w:r>
      <w:proofErr w:type="spellEnd"/>
      <w:r w:rsidRPr="002E6099">
        <w:rPr>
          <w:color w:val="000000" w:themeColor="text1"/>
        </w:rPr>
        <w:t xml:space="preserve"> Zamawiający wymaga, aby oferowany System spełniał minimalne wymagania środowiskowe i eksploatacyjne dotyczące efektywności energetycznej, trybu ograniczonego poboru energii, serwisowalności, modularności oraz ograniczenia odpadów opakowaniowych poprzez: </w:t>
      </w:r>
    </w:p>
    <w:p w14:paraId="1E0177BE" w14:textId="77777777" w:rsidR="003B1719" w:rsidRPr="003B1719" w:rsidRDefault="003B1719" w:rsidP="003B1719">
      <w:pPr>
        <w:pStyle w:val="Akapitzlist"/>
        <w:numPr>
          <w:ilvl w:val="1"/>
          <w:numId w:val="25"/>
        </w:numPr>
        <w:spacing w:line="278" w:lineRule="auto"/>
        <w:jc w:val="both"/>
      </w:pPr>
      <w:r w:rsidRPr="00E52041">
        <w:t xml:space="preserve">System zarządzania </w:t>
      </w:r>
      <w:r w:rsidRPr="003B1719">
        <w:t>środowiskowego</w:t>
      </w:r>
    </w:p>
    <w:p w14:paraId="395B7643" w14:textId="77777777" w:rsidR="003B1719" w:rsidRPr="00E52041" w:rsidRDefault="003B1719" w:rsidP="003B1719">
      <w:pPr>
        <w:pStyle w:val="Akapitzlist"/>
        <w:numPr>
          <w:ilvl w:val="2"/>
          <w:numId w:val="25"/>
        </w:numPr>
        <w:spacing w:line="278" w:lineRule="auto"/>
        <w:jc w:val="both"/>
      </w:pPr>
      <w:r w:rsidRPr="003B1719">
        <w:t>Wyprodukowanie sprzętu w myśl systemu zarządzania środowiskowego</w:t>
      </w:r>
      <w:r w:rsidRPr="00E52041">
        <w:t xml:space="preserve"> potwierdzone spełnieniem norm ISO 14001 wystawione przez odpowiednią jednostkę oceniającą w rozumieniu ustawy </w:t>
      </w:r>
      <w:proofErr w:type="spellStart"/>
      <w:r w:rsidRPr="00E52041">
        <w:t>Pzp</w:t>
      </w:r>
      <w:proofErr w:type="spellEnd"/>
      <w:r w:rsidRPr="00E52041">
        <w:t xml:space="preserve">  lub innym dokumentem równoważnym, potwierdzającym wdrożenie i stosowanie systemu zarządzania środowiskowego spełniającego wymagania równoważne do normy ISO 14001</w:t>
      </w:r>
    </w:p>
    <w:p w14:paraId="04D4B1B3" w14:textId="77777777" w:rsidR="003B1719" w:rsidRPr="00E52041" w:rsidRDefault="003B1719" w:rsidP="003B1719">
      <w:pPr>
        <w:pStyle w:val="Akapitzlist"/>
        <w:numPr>
          <w:ilvl w:val="2"/>
          <w:numId w:val="25"/>
        </w:numPr>
        <w:spacing w:line="278" w:lineRule="auto"/>
        <w:jc w:val="both"/>
      </w:pPr>
      <w:r w:rsidRPr="00E52041">
        <w:t xml:space="preserve">Na potwierdzenie z pkt i) wykonawca zobowiązany jest załączyć do oferty Certyfikat ISO 14001 lub wskazać w formularzu ofertowym oficjalne strony www producenta sprzętu gdzie certyfikat jest możliwy do obejrzenia/pobrania </w:t>
      </w:r>
    </w:p>
    <w:p w14:paraId="1E5EEBC8" w14:textId="102940E0" w:rsidR="004E1AB8" w:rsidRPr="002E6099" w:rsidRDefault="004E1AB8" w:rsidP="001D6C2D">
      <w:pPr>
        <w:pStyle w:val="Akapitzlist"/>
        <w:numPr>
          <w:ilvl w:val="2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lastRenderedPageBreak/>
        <w:t>Certyfikat ISO 14001 musi być wystawiony dla każdego producenta sprzętu oferowanego przez wykonawcę wskazanego w formularzu cenowym. Za producenta uznaje się każda osobę fizyczną lub prawną albo jednostkę organizacyjną nie posiadającą osobowości prawnej dla której ten wyrób zaprojektowano lub wytworzono, w celu wprowadzenia go do obrotu lub oddania do użytku pod własną nazwą lub znakiem.</w:t>
      </w:r>
    </w:p>
    <w:p w14:paraId="377BEC65" w14:textId="77777777" w:rsidR="00DB179B" w:rsidRPr="002E6099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>Ograniczenie zużycia energii</w:t>
      </w:r>
    </w:p>
    <w:p w14:paraId="2828C053" w14:textId="77777777" w:rsidR="00DB179B" w:rsidRPr="002E6099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 xml:space="preserve">Oferowany system musi umożliwiać ograniczenie zużycia energii w okresach nieaktywności, w szczególności poprzez tryb stand-by / tryb uśpienia / procedurę bezpiecznego ograniczenia poboru energii dla odpowiednich elementów systemu, w tym laserów oraz stacji badawczej. </w:t>
      </w:r>
    </w:p>
    <w:p w14:paraId="3E66FDA1" w14:textId="77777777" w:rsidR="00DB179B" w:rsidRPr="002E6099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>Serwisowalność</w:t>
      </w:r>
    </w:p>
    <w:p w14:paraId="101CDC4A" w14:textId="2BC3D6F5" w:rsidR="00DB179B" w:rsidRPr="00E94CA2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 w:rsidRPr="002E6099">
        <w:rPr>
          <w:color w:val="000000" w:themeColor="text1"/>
        </w:rPr>
        <w:t xml:space="preserve">Oferowany system musi być objęty gwarancją minimum 24 miesiące. Wykonawca zapewni dostępność części zamiennych, materiałów eksploatacyjnych i wsparcia serwisowego przez minimum </w:t>
      </w:r>
      <w:r w:rsidR="00E94CA2" w:rsidRPr="002E6099">
        <w:rPr>
          <w:color w:val="000000" w:themeColor="text1"/>
        </w:rPr>
        <w:t>10</w:t>
      </w:r>
      <w:r w:rsidRPr="002E6099">
        <w:rPr>
          <w:color w:val="000000" w:themeColor="text1"/>
        </w:rPr>
        <w:t xml:space="preserve"> lat od odbioru </w:t>
      </w:r>
      <w:r w:rsidRPr="00E94CA2">
        <w:t xml:space="preserve">systemu. </w:t>
      </w:r>
    </w:p>
    <w:p w14:paraId="3E3BAB58" w14:textId="77777777" w:rsidR="00DB179B" w:rsidRPr="00E94CA2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 w:rsidRPr="00E94CA2">
        <w:t>Modularność i możliwość rozbudowy</w:t>
      </w:r>
    </w:p>
    <w:p w14:paraId="12292C1C" w14:textId="77777777" w:rsidR="00DB179B" w:rsidRPr="00E94CA2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 w:rsidRPr="00E94CA2">
        <w:t xml:space="preserve">Oferowany system powinien umożliwiać rozbudowę lub wymianę wybranych modułów funkcjonalnych bez konieczności wymiany całego systemu, np. laserów, detektorów, dodatkowych modułów obrazowania, oprogramowania lub stacji badawczej. </w:t>
      </w:r>
    </w:p>
    <w:p w14:paraId="508DD92E" w14:textId="77777777" w:rsidR="00DB179B" w:rsidRPr="00E94CA2" w:rsidRDefault="00DB179B" w:rsidP="001D6C2D">
      <w:pPr>
        <w:pStyle w:val="Akapitzlist"/>
        <w:numPr>
          <w:ilvl w:val="1"/>
          <w:numId w:val="25"/>
        </w:numPr>
        <w:spacing w:line="278" w:lineRule="auto"/>
        <w:jc w:val="both"/>
      </w:pPr>
      <w:r w:rsidRPr="00E94CA2">
        <w:t>Opakowania nadające się do recyklingu</w:t>
      </w:r>
    </w:p>
    <w:p w14:paraId="6CD19D97" w14:textId="77777777" w:rsidR="00DB179B" w:rsidRPr="00E94CA2" w:rsidRDefault="00DB179B" w:rsidP="001D6C2D">
      <w:pPr>
        <w:pStyle w:val="Akapitzlist"/>
        <w:numPr>
          <w:ilvl w:val="2"/>
          <w:numId w:val="25"/>
        </w:numPr>
        <w:spacing w:line="278" w:lineRule="auto"/>
        <w:jc w:val="both"/>
      </w:pPr>
      <w:r w:rsidRPr="00E94CA2">
        <w:t>Wykonawca zadeklaruje, że dostarczy urządzenie w opakowaniach nadających się do recyklingu w możliwie największym zakresie, nie mniejszym niż 75% masy opakowań, z wyłączeniem elementów, których zastosowanie jest niezbędne ze względów bezpieczeństwa transportu aparatury.</w:t>
      </w:r>
    </w:p>
    <w:p w14:paraId="0FA22A89" w14:textId="77777777" w:rsidR="00E94CA2" w:rsidRDefault="00E94CA2" w:rsidP="001D6C2D">
      <w:pPr>
        <w:ind w:left="720"/>
        <w:contextualSpacing/>
        <w:jc w:val="both"/>
        <w:rPr>
          <w:rFonts w:ascii="Arial" w:eastAsia="Aptos" w:hAnsi="Arial" w:cs="Arial"/>
          <w:b/>
          <w:bCs/>
        </w:rPr>
      </w:pPr>
    </w:p>
    <w:p w14:paraId="24B44087" w14:textId="39BFD6DA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  <w:b/>
          <w:bCs/>
        </w:rPr>
      </w:pPr>
      <w:r w:rsidRPr="00E94CA2">
        <w:rPr>
          <w:rFonts w:eastAsia="Aptos" w:cstheme="minorHAnsi"/>
          <w:b/>
          <w:bCs/>
        </w:rPr>
        <w:t>Instalacja i serwis</w:t>
      </w:r>
    </w:p>
    <w:p w14:paraId="321C3B42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</w:p>
    <w:p w14:paraId="001A2002" w14:textId="27570B0A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  <w:b/>
          <w:bCs/>
        </w:rPr>
        <w:t>Instruktaż stanowiskowy</w:t>
      </w:r>
      <w:r w:rsidRPr="00E94CA2">
        <w:rPr>
          <w:rFonts w:eastAsia="Aptos" w:cstheme="minorHAnsi"/>
        </w:rPr>
        <w:t xml:space="preserve"> </w:t>
      </w:r>
      <w:r w:rsidR="001F257F" w:rsidRPr="001F257F">
        <w:rPr>
          <w:rFonts w:eastAsia="Aptos" w:cstheme="minorHAnsi"/>
        </w:rPr>
        <w:t>operacyjny i aplikacyjny przeprowadzone przez specjalistę/inżyniera serwisu przeprowadzone po instalacji Urządzenia. Zaawansowany instruktaż aplikacyjny przeprowadzony przez specjalistę aplikacyjnego w wybranym przez Zamawiającego terminie. Wsparcie aplikacyjne przez cały okres używania systemu.</w:t>
      </w:r>
    </w:p>
    <w:p w14:paraId="054A95B7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</w:p>
    <w:p w14:paraId="195E4EAC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  <w:b/>
          <w:bCs/>
        </w:rPr>
      </w:pPr>
      <w:r w:rsidRPr="00E94CA2">
        <w:rPr>
          <w:rFonts w:eastAsia="Aptos" w:cstheme="minorHAnsi"/>
          <w:b/>
          <w:bCs/>
        </w:rPr>
        <w:t>Serwis, naprawy gwarancyjne</w:t>
      </w:r>
    </w:p>
    <w:p w14:paraId="0CCF8E07" w14:textId="77777777" w:rsidR="009F4D53" w:rsidRPr="009F4D53" w:rsidRDefault="00DB179B" w:rsidP="009F4D53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  <w:b/>
          <w:bCs/>
        </w:rPr>
        <w:t>Serwis gwarancyjny</w:t>
      </w:r>
      <w:r w:rsidRPr="00E94CA2">
        <w:rPr>
          <w:rFonts w:eastAsia="Aptos" w:cstheme="minorHAnsi"/>
        </w:rPr>
        <w:t xml:space="preserve"> </w:t>
      </w:r>
      <w:r w:rsidR="009F4D53" w:rsidRPr="009F4D53">
        <w:rPr>
          <w:rFonts w:eastAsia="Aptos" w:cstheme="minorHAnsi"/>
        </w:rPr>
        <w:t>w miejscu użytkowania urządzeń realizowany za pośrednictwem Wykonawcy. W przypadku konieczności naprawy poza siedzibą Zamawiającego koszty demontażu, ponownej instalacji i transportu urządzeń oraz ryzyko utraty lub uszkodzenia urządzeń ponosi Wykonawca.</w:t>
      </w:r>
    </w:p>
    <w:p w14:paraId="11886AB4" w14:textId="77777777" w:rsidR="009F4D53" w:rsidRPr="009F4D53" w:rsidRDefault="009F4D53" w:rsidP="009F4D53">
      <w:pPr>
        <w:ind w:left="720"/>
        <w:contextualSpacing/>
        <w:jc w:val="both"/>
        <w:rPr>
          <w:rFonts w:eastAsia="Aptos" w:cstheme="minorHAnsi"/>
        </w:rPr>
      </w:pPr>
      <w:r w:rsidRPr="009F4D53">
        <w:rPr>
          <w:rFonts w:eastAsia="Aptos" w:cstheme="minorHAnsi"/>
        </w:rPr>
        <w:t>Gwarancja realizowana będzie w miejscu instalacji sprzętu. Czas reakcji: do 24 godzin od przekazania zgłoszenia przez Zamawiającego.</w:t>
      </w:r>
    </w:p>
    <w:p w14:paraId="39722BCC" w14:textId="77777777" w:rsidR="009F4D53" w:rsidRPr="009F4D53" w:rsidRDefault="009F4D53" w:rsidP="009F4D53">
      <w:pPr>
        <w:ind w:left="720"/>
        <w:contextualSpacing/>
        <w:jc w:val="both"/>
        <w:rPr>
          <w:rFonts w:eastAsia="Aptos" w:cstheme="minorHAnsi"/>
        </w:rPr>
      </w:pPr>
      <w:r w:rsidRPr="009F4D53">
        <w:rPr>
          <w:rFonts w:eastAsia="Aptos" w:cstheme="minorHAnsi"/>
        </w:rPr>
        <w:t>Czas naprawy od momentu zgłoszenia:</w:t>
      </w:r>
    </w:p>
    <w:p w14:paraId="6C06F19F" w14:textId="77777777" w:rsidR="009F4D53" w:rsidRPr="009F4D53" w:rsidRDefault="009F4D53" w:rsidP="009F4D53">
      <w:pPr>
        <w:ind w:left="720"/>
        <w:contextualSpacing/>
        <w:jc w:val="both"/>
        <w:rPr>
          <w:rFonts w:eastAsia="Aptos" w:cstheme="minorHAnsi"/>
        </w:rPr>
      </w:pPr>
      <w:r w:rsidRPr="009F4D53">
        <w:rPr>
          <w:rFonts w:eastAsia="Aptos" w:cstheme="minorHAnsi"/>
        </w:rPr>
        <w:t>a) do 14 dni od dnia przekazania zgłoszenia przez Zamawiającego w przypadku napraw niewymagających sprowadzenia specjalistycznych części zza granicy,</w:t>
      </w:r>
    </w:p>
    <w:p w14:paraId="617049A9" w14:textId="77777777" w:rsidR="009F4D53" w:rsidRPr="009F4D53" w:rsidRDefault="009F4D53" w:rsidP="009F4D53">
      <w:pPr>
        <w:ind w:left="720"/>
        <w:contextualSpacing/>
        <w:jc w:val="both"/>
        <w:rPr>
          <w:rFonts w:eastAsia="Aptos" w:cstheme="minorHAnsi"/>
        </w:rPr>
      </w:pPr>
      <w:r w:rsidRPr="009F4D53">
        <w:rPr>
          <w:rFonts w:eastAsia="Aptos" w:cstheme="minorHAnsi"/>
        </w:rPr>
        <w:t>b) do 4 tygodni od dnia przekazania zgłoszenia przez Zamawiającego w przypadku napraw wymagających sprowadzenia specjalistycznych części zza granicy.</w:t>
      </w:r>
    </w:p>
    <w:p w14:paraId="59F86473" w14:textId="2D6D4B97" w:rsidR="00DB179B" w:rsidRDefault="009F4D53" w:rsidP="009F4D53">
      <w:pPr>
        <w:ind w:left="720"/>
        <w:contextualSpacing/>
        <w:jc w:val="both"/>
        <w:rPr>
          <w:rFonts w:eastAsia="Aptos" w:cstheme="minorHAnsi"/>
        </w:rPr>
      </w:pPr>
      <w:r w:rsidRPr="009F4D53">
        <w:rPr>
          <w:rFonts w:eastAsia="Aptos" w:cstheme="minorHAnsi"/>
        </w:rPr>
        <w:lastRenderedPageBreak/>
        <w:t>Wszelkie informacje dotyczące gwarancji i zgłaszania awarii będą zawarte w karcie gwarancyjnej dostarczonej Zamawiającemu.</w:t>
      </w:r>
    </w:p>
    <w:p w14:paraId="68DD8034" w14:textId="77777777" w:rsidR="002A4EED" w:rsidRPr="00E94CA2" w:rsidRDefault="002A4EED" w:rsidP="009F4D53">
      <w:pPr>
        <w:ind w:left="720"/>
        <w:contextualSpacing/>
        <w:jc w:val="both"/>
        <w:rPr>
          <w:rFonts w:eastAsia="Aptos" w:cstheme="minorHAnsi"/>
        </w:rPr>
      </w:pPr>
    </w:p>
    <w:p w14:paraId="11E64BCF" w14:textId="77777777" w:rsidR="002A4EED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  <w:b/>
          <w:bCs/>
        </w:rPr>
        <w:t>Gwarancja</w:t>
      </w:r>
    </w:p>
    <w:p w14:paraId="11B0DA0B" w14:textId="50C31366" w:rsidR="00DB179B" w:rsidRPr="00E94CA2" w:rsidRDefault="002A4EED" w:rsidP="001D6C2D">
      <w:pPr>
        <w:ind w:left="720"/>
        <w:contextualSpacing/>
        <w:jc w:val="both"/>
        <w:rPr>
          <w:rFonts w:eastAsia="Aptos" w:cstheme="minorHAnsi"/>
          <w:b/>
          <w:bCs/>
        </w:rPr>
      </w:pPr>
      <w:r w:rsidRPr="002A4EED">
        <w:rPr>
          <w:rFonts w:eastAsia="Aptos" w:cstheme="minorHAnsi"/>
        </w:rPr>
        <w:t>Minimalny okres gwarancji - 24 miesiące od dnia podpisania protokołu zdawczo–odbiorczego; minimalny okres gwarancji na laser - 36 miesięcy od dnia podpisania protokołu zdawczo–odbiorczego</w:t>
      </w:r>
      <w:r>
        <w:rPr>
          <w:rFonts w:eastAsia="Aptos" w:cstheme="minorHAnsi"/>
        </w:rPr>
        <w:t>.</w:t>
      </w:r>
    </w:p>
    <w:p w14:paraId="32FDE06C" w14:textId="77777777" w:rsidR="00E94CA2" w:rsidRDefault="00E94CA2" w:rsidP="001D6C2D">
      <w:pPr>
        <w:ind w:left="720"/>
        <w:contextualSpacing/>
        <w:jc w:val="both"/>
        <w:rPr>
          <w:rFonts w:eastAsia="Aptos" w:cstheme="minorHAnsi"/>
          <w:b/>
          <w:bCs/>
        </w:rPr>
      </w:pPr>
    </w:p>
    <w:p w14:paraId="568E2D17" w14:textId="77777777" w:rsidR="002A4EED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  <w:b/>
          <w:bCs/>
        </w:rPr>
        <w:t>Instalacja</w:t>
      </w:r>
    </w:p>
    <w:p w14:paraId="221ED804" w14:textId="76A67435" w:rsidR="00921AE3" w:rsidRPr="00921AE3" w:rsidRDefault="00DB179B" w:rsidP="00921AE3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</w:rPr>
        <w:t xml:space="preserve">Koszty </w:t>
      </w:r>
      <w:r w:rsidR="00921AE3" w:rsidRPr="00921AE3">
        <w:rPr>
          <w:rFonts w:eastAsia="Aptos" w:cstheme="minorHAnsi"/>
        </w:rPr>
        <w:t>transportu i instalacji pokrywa Wykonawca. Wykonawca zapewnia wykonanie przez autoryzowany serwis wszystkich wymaganych (opisanych w specyfikacji/dokumentacji technicznej) przeglądów/kalibracji/ adjustacji/sprawdzeń:</w:t>
      </w:r>
    </w:p>
    <w:p w14:paraId="1451E66D" w14:textId="77777777" w:rsidR="00921AE3" w:rsidRPr="00921AE3" w:rsidRDefault="00921AE3" w:rsidP="00921AE3">
      <w:pPr>
        <w:ind w:left="720"/>
        <w:contextualSpacing/>
        <w:jc w:val="both"/>
        <w:rPr>
          <w:rFonts w:eastAsia="Aptos" w:cstheme="minorHAnsi"/>
        </w:rPr>
      </w:pPr>
      <w:r w:rsidRPr="00921AE3">
        <w:rPr>
          <w:rFonts w:eastAsia="Aptos" w:cstheme="minorHAnsi"/>
        </w:rPr>
        <w:t>- po instalacji systemu</w:t>
      </w:r>
    </w:p>
    <w:p w14:paraId="48F0C6DE" w14:textId="45FC05F4" w:rsidR="00921AE3" w:rsidRPr="00921AE3" w:rsidRDefault="00921AE3" w:rsidP="00921AE3">
      <w:pPr>
        <w:ind w:left="720"/>
        <w:contextualSpacing/>
        <w:jc w:val="both"/>
        <w:rPr>
          <w:rFonts w:eastAsia="Aptos" w:cstheme="minorHAnsi"/>
        </w:rPr>
      </w:pPr>
      <w:r w:rsidRPr="00921AE3">
        <w:rPr>
          <w:rFonts w:eastAsia="Aptos" w:cstheme="minorHAnsi"/>
        </w:rPr>
        <w:t>- po 12 miesiącach od zainstalowania systemu oraz po 24 miesiącach (w</w:t>
      </w:r>
      <w:r>
        <w:rPr>
          <w:rFonts w:eastAsia="Aptos" w:cstheme="minorHAnsi"/>
        </w:rPr>
        <w:t xml:space="preserve"> </w:t>
      </w:r>
      <w:r w:rsidRPr="00921AE3">
        <w:rPr>
          <w:rFonts w:eastAsia="Aptos" w:cstheme="minorHAnsi"/>
        </w:rPr>
        <w:t>okresie trwania gwarancji)</w:t>
      </w:r>
    </w:p>
    <w:p w14:paraId="57CEB4DF" w14:textId="580A0EE2" w:rsidR="00DB179B" w:rsidRPr="00E94CA2" w:rsidRDefault="00921AE3" w:rsidP="00921AE3">
      <w:pPr>
        <w:ind w:left="720"/>
        <w:contextualSpacing/>
        <w:jc w:val="both"/>
        <w:rPr>
          <w:rFonts w:eastAsia="Aptos" w:cstheme="minorHAnsi"/>
        </w:rPr>
      </w:pPr>
      <w:r w:rsidRPr="00921AE3">
        <w:rPr>
          <w:rFonts w:eastAsia="Aptos" w:cstheme="minorHAnsi"/>
        </w:rPr>
        <w:t>- po każdym zgłoszeniu Użytkownika, w przypadku zauważenia nieprawidłowej pracy systemu w okresie gwarancyjnym</w:t>
      </w:r>
    </w:p>
    <w:p w14:paraId="2FFDAAE0" w14:textId="77777777" w:rsidR="00DB179B" w:rsidRPr="00E94CA2" w:rsidRDefault="00DB179B" w:rsidP="001D6C2D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1912160" w14:textId="77777777" w:rsidR="00DB179B" w:rsidRPr="00E94CA2" w:rsidRDefault="00DB179B" w:rsidP="001D6C2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F349D">
        <w:rPr>
          <w:rFonts w:eastAsia="Times New Roman" w:cstheme="minorHAnsi"/>
          <w:lang w:eastAsia="pl-PL"/>
        </w:rPr>
        <w:t>Termin realizacji zamówienia do 22 tygodni</w:t>
      </w:r>
      <w:r w:rsidRPr="00E94CA2">
        <w:rPr>
          <w:rFonts w:eastAsia="Times New Roman" w:cstheme="minorHAnsi"/>
          <w:lang w:eastAsia="pl-PL"/>
        </w:rPr>
        <w:t xml:space="preserve"> </w:t>
      </w:r>
    </w:p>
    <w:p w14:paraId="5A4DDF18" w14:textId="77777777" w:rsidR="00E94CA2" w:rsidRDefault="00E94CA2" w:rsidP="00DB179B">
      <w:pPr>
        <w:rPr>
          <w:rFonts w:cstheme="minorHAnsi"/>
          <w:b/>
        </w:rPr>
      </w:pPr>
    </w:p>
    <w:p w14:paraId="2EC64D56" w14:textId="50976015" w:rsidR="00DB179B" w:rsidRPr="00E94CA2" w:rsidRDefault="00E94CA2" w:rsidP="00DB179B">
      <w:pPr>
        <w:rPr>
          <w:rFonts w:cstheme="minorHAnsi"/>
          <w:b/>
        </w:rPr>
      </w:pPr>
      <w:r>
        <w:rPr>
          <w:rFonts w:cstheme="minorHAnsi"/>
          <w:b/>
        </w:rPr>
        <w:t>K</w:t>
      </w:r>
      <w:r w:rsidR="00DB179B" w:rsidRPr="00E94CA2">
        <w:rPr>
          <w:rFonts w:cstheme="minorHAnsi"/>
          <w:b/>
        </w:rPr>
        <w:t>ryteria oceny ofert</w:t>
      </w:r>
    </w:p>
    <w:tbl>
      <w:tblPr>
        <w:tblStyle w:val="TableNormal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179B" w:rsidRPr="00E94CA2" w14:paraId="77111C6C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09"/>
            </w:tblGrid>
            <w:tr w:rsidR="00DB179B" w:rsidRPr="00E94CA2" w14:paraId="54266D4C" w14:textId="77777777" w:rsidTr="00F57EAA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89195A4" w14:textId="77777777" w:rsidR="00DB179B" w:rsidRPr="00E94CA2" w:rsidRDefault="00DB179B" w:rsidP="00F57EAA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proofErr w:type="spellStart"/>
                  <w:r w:rsidRPr="00E94CA2">
                    <w:rPr>
                      <w:rFonts w:cstheme="minorHAnsi"/>
                      <w:b/>
                      <w:bCs/>
                    </w:rPr>
                    <w:t>Kryterium</w:t>
                  </w:r>
                  <w:proofErr w:type="spellEnd"/>
                </w:p>
              </w:tc>
            </w:tr>
          </w:tbl>
          <w:p w14:paraId="613BE9B4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4"/>
              <w:gridCol w:w="596"/>
            </w:tblGrid>
            <w:tr w:rsidR="00DB179B" w:rsidRPr="00E94CA2" w14:paraId="7047C7F4" w14:textId="77777777" w:rsidTr="00F57EAA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2818A36" w14:textId="77777777" w:rsidR="00DB179B" w:rsidRPr="00E94CA2" w:rsidRDefault="00DB179B" w:rsidP="00F57EAA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proofErr w:type="spellStart"/>
                  <w:r w:rsidRPr="00E94CA2">
                    <w:rPr>
                      <w:rFonts w:cstheme="minorHAnsi"/>
                      <w:b/>
                      <w:bCs/>
                    </w:rPr>
                    <w:t>Kryterium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A02211" w14:textId="77777777" w:rsidR="00DB179B" w:rsidRPr="00E94CA2" w:rsidRDefault="00DB179B" w:rsidP="00F57EAA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E94CA2">
                    <w:rPr>
                      <w:rFonts w:cstheme="minorHAnsi"/>
                      <w:b/>
                      <w:bCs/>
                    </w:rPr>
                    <w:t>Waga</w:t>
                  </w:r>
                </w:p>
              </w:tc>
            </w:tr>
          </w:tbl>
          <w:p w14:paraId="0CCEDD6B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  <w:tr w:rsidR="00DB179B" w:rsidRPr="00E94CA2" w14:paraId="5397EFB0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9"/>
            </w:tblGrid>
            <w:tr w:rsidR="00DB179B" w:rsidRPr="00E94CA2" w14:paraId="4A42DB3A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67C512B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Fonts w:cstheme="minorHAnsi"/>
                    </w:rPr>
                    <w:t xml:space="preserve">Cena </w:t>
                  </w:r>
                  <w:proofErr w:type="spellStart"/>
                  <w:r w:rsidRPr="00E94CA2">
                    <w:rPr>
                      <w:rFonts w:cstheme="minorHAnsi"/>
                    </w:rPr>
                    <w:t>brutto</w:t>
                  </w:r>
                  <w:proofErr w:type="spellEnd"/>
                </w:p>
              </w:tc>
            </w:tr>
          </w:tbl>
          <w:p w14:paraId="01E11C89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456"/>
            </w:tblGrid>
            <w:tr w:rsidR="00DB179B" w:rsidRPr="00E94CA2" w14:paraId="764AD33F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4106CCB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2A63FD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Fonts w:cstheme="minorHAnsi"/>
                    </w:rPr>
                    <w:t>60%</w:t>
                  </w:r>
                </w:p>
              </w:tc>
            </w:tr>
          </w:tbl>
          <w:p w14:paraId="2F971F49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  <w:tr w:rsidR="00DB179B" w:rsidRPr="00E94CA2" w14:paraId="6885A38B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2"/>
            </w:tblGrid>
            <w:tr w:rsidR="00DB179B" w:rsidRPr="00E94CA2" w14:paraId="68CC2967" w14:textId="77777777" w:rsidTr="00F57EAA">
              <w:trPr>
                <w:tblCellSpacing w:w="15" w:type="dxa"/>
              </w:trPr>
              <w:tc>
                <w:tcPr>
                  <w:tcW w:w="2442" w:type="dxa"/>
                  <w:vAlign w:val="center"/>
                  <w:hideMark/>
                </w:tcPr>
                <w:p w14:paraId="06D30750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proofErr w:type="spellStart"/>
                  <w:r w:rsidRPr="00E94CA2">
                    <w:rPr>
                      <w:rFonts w:cstheme="minorHAnsi"/>
                    </w:rPr>
                    <w:t>Parametry</w:t>
                  </w:r>
                  <w:proofErr w:type="spellEnd"/>
                  <w:r w:rsidRPr="00E94CA2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E94CA2">
                    <w:rPr>
                      <w:rFonts w:cstheme="minorHAnsi"/>
                    </w:rPr>
                    <w:t>techniczno-analityczne</w:t>
                  </w:r>
                  <w:proofErr w:type="spellEnd"/>
                </w:p>
              </w:tc>
            </w:tr>
          </w:tbl>
          <w:p w14:paraId="7B5D4E19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456"/>
            </w:tblGrid>
            <w:tr w:rsidR="00DB179B" w:rsidRPr="00E94CA2" w14:paraId="3D3CB8F0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58A14AF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48644D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Fonts w:cstheme="minorHAnsi"/>
                    </w:rPr>
                    <w:t>25%</w:t>
                  </w:r>
                </w:p>
              </w:tc>
            </w:tr>
          </w:tbl>
          <w:p w14:paraId="5D8F964B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  <w:tr w:rsidR="00DB179B" w:rsidRPr="00E94CA2" w14:paraId="3250A860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75"/>
              <w:gridCol w:w="456"/>
            </w:tblGrid>
            <w:tr w:rsidR="00DB179B" w:rsidRPr="00E94CA2" w14:paraId="22ECCC2A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E005B4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proofErr w:type="spellStart"/>
                  <w:r w:rsidRPr="00E94CA2">
                    <w:rPr>
                      <w:rFonts w:cstheme="minorHAnsi"/>
                    </w:rPr>
                    <w:t>Zielone</w:t>
                  </w:r>
                  <w:proofErr w:type="spellEnd"/>
                  <w:r w:rsidRPr="00E94CA2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E94CA2">
                    <w:rPr>
                      <w:rFonts w:cstheme="minorHAnsi"/>
                    </w:rPr>
                    <w:t>kryteria</w:t>
                  </w:r>
                  <w:proofErr w:type="spellEnd"/>
                  <w:r w:rsidRPr="00E94CA2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E94CA2">
                    <w:rPr>
                      <w:rFonts w:cstheme="minorHAnsi"/>
                    </w:rPr>
                    <w:t>środowiskowo-eksploatacyjne</w:t>
                  </w:r>
                  <w:proofErr w:type="spellEnd"/>
                </w:p>
              </w:tc>
              <w:tc>
                <w:tcPr>
                  <w:tcW w:w="411" w:type="dxa"/>
                  <w:vAlign w:val="center"/>
                  <w:hideMark/>
                </w:tcPr>
                <w:p w14:paraId="5247AE0B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</w:tr>
          </w:tbl>
          <w:p w14:paraId="71613DDF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456"/>
            </w:tblGrid>
            <w:tr w:rsidR="00DB179B" w:rsidRPr="00E94CA2" w14:paraId="4DBB703D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A8F9351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135548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Fonts w:cstheme="minorHAnsi"/>
                    </w:rPr>
                    <w:t>15%</w:t>
                  </w:r>
                </w:p>
              </w:tc>
            </w:tr>
          </w:tbl>
          <w:p w14:paraId="2ACDC022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  <w:tr w:rsidR="00DB179B" w:rsidRPr="00E94CA2" w14:paraId="13A395BA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87"/>
            </w:tblGrid>
            <w:tr w:rsidR="00DB179B" w:rsidRPr="00E94CA2" w14:paraId="644572AB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B58446A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proofErr w:type="spellStart"/>
                  <w:r w:rsidRPr="00E94CA2">
                    <w:rPr>
                      <w:rStyle w:val="Nagwek3Znak"/>
                      <w:rFonts w:eastAsiaTheme="minorHAnsi" w:cstheme="minorHAnsi"/>
                      <w:sz w:val="22"/>
                      <w:szCs w:val="22"/>
                    </w:rPr>
                    <w:t>Razem</w:t>
                  </w:r>
                  <w:proofErr w:type="spellEnd"/>
                </w:p>
              </w:tc>
            </w:tr>
          </w:tbl>
          <w:p w14:paraId="574CF3FE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570"/>
            </w:tblGrid>
            <w:tr w:rsidR="00DB179B" w:rsidRPr="00E94CA2" w14:paraId="4A52EACC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394A5D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E6ABA0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Style w:val="Pogrubienie"/>
                      <w:rFonts w:cstheme="minorHAnsi"/>
                    </w:rPr>
                    <w:t>100%</w:t>
                  </w:r>
                </w:p>
              </w:tc>
            </w:tr>
          </w:tbl>
          <w:p w14:paraId="6A066D7F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</w:tbl>
    <w:p w14:paraId="05B3CC54" w14:textId="77777777" w:rsidR="00DB179B" w:rsidRPr="00E94CA2" w:rsidRDefault="00DB179B" w:rsidP="00DB179B">
      <w:pPr>
        <w:rPr>
          <w:rFonts w:cstheme="minorHAnsi"/>
        </w:rPr>
      </w:pPr>
    </w:p>
    <w:p w14:paraId="5DB25821" w14:textId="77777777" w:rsidR="00DB179B" w:rsidRPr="00E94CA2" w:rsidRDefault="00DB179B" w:rsidP="00DB179B">
      <w:pPr>
        <w:rPr>
          <w:rFonts w:cstheme="minorHAnsi"/>
          <w:b/>
          <w:bCs/>
          <w:u w:val="single"/>
        </w:rPr>
      </w:pPr>
      <w:r w:rsidRPr="00E94CA2">
        <w:rPr>
          <w:rFonts w:cstheme="minorHAnsi"/>
          <w:b/>
          <w:bCs/>
          <w:u w:val="single"/>
        </w:rPr>
        <w:t>Parametry techniczno-analityczne</w:t>
      </w:r>
    </w:p>
    <w:p w14:paraId="2588CCE8" w14:textId="77777777" w:rsidR="00BD13B7" w:rsidRPr="00230ADD" w:rsidRDefault="00BD13B7" w:rsidP="00BD13B7">
      <w:pPr>
        <w:rPr>
          <w:b/>
          <w:bCs/>
        </w:rPr>
      </w:pPr>
      <w:r w:rsidRPr="00230ADD">
        <w:rPr>
          <w:b/>
          <w:bCs/>
        </w:rPr>
        <w:t xml:space="preserve">1. Maksymalna częstotliwość impulsów lasera </w:t>
      </w:r>
      <w:proofErr w:type="spellStart"/>
      <w:r w:rsidRPr="00230ADD">
        <w:rPr>
          <w:b/>
          <w:bCs/>
        </w:rPr>
        <w:t>mikrodysekcyjnego</w:t>
      </w:r>
      <w:proofErr w:type="spellEnd"/>
    </w:p>
    <w:p w14:paraId="0C299795" w14:textId="77777777" w:rsidR="00BD13B7" w:rsidRPr="00230ADD" w:rsidRDefault="00BD13B7" w:rsidP="00BD13B7">
      <w:pPr>
        <w:numPr>
          <w:ilvl w:val="0"/>
          <w:numId w:val="28"/>
        </w:numPr>
      </w:pPr>
      <w:r w:rsidRPr="00230ADD">
        <w:t xml:space="preserve">≥5000 </w:t>
      </w:r>
      <w:proofErr w:type="spellStart"/>
      <w:r w:rsidRPr="00230ADD">
        <w:t>Hz</w:t>
      </w:r>
      <w:proofErr w:type="spellEnd"/>
      <w:r w:rsidRPr="00230ADD">
        <w:t xml:space="preserve"> – 5 pkt </w:t>
      </w:r>
    </w:p>
    <w:p w14:paraId="32A8E48E" w14:textId="77777777" w:rsidR="00BD13B7" w:rsidRPr="00230ADD" w:rsidRDefault="00BD13B7" w:rsidP="00BD13B7">
      <w:pPr>
        <w:numPr>
          <w:ilvl w:val="0"/>
          <w:numId w:val="28"/>
        </w:numPr>
      </w:pPr>
      <w:r w:rsidRPr="00230ADD">
        <w:t xml:space="preserve">2000–4999 </w:t>
      </w:r>
      <w:proofErr w:type="spellStart"/>
      <w:r w:rsidRPr="00230ADD">
        <w:t>Hz</w:t>
      </w:r>
      <w:proofErr w:type="spellEnd"/>
      <w:r w:rsidRPr="00230ADD">
        <w:t xml:space="preserve"> – 3 pkt </w:t>
      </w:r>
    </w:p>
    <w:p w14:paraId="1454E29F" w14:textId="77777777" w:rsidR="00BD13B7" w:rsidRPr="00230ADD" w:rsidRDefault="00BD13B7" w:rsidP="00BD13B7">
      <w:pPr>
        <w:numPr>
          <w:ilvl w:val="0"/>
          <w:numId w:val="28"/>
        </w:numPr>
      </w:pPr>
      <w:r w:rsidRPr="00230ADD">
        <w:t xml:space="preserve">&lt;2000 </w:t>
      </w:r>
      <w:proofErr w:type="spellStart"/>
      <w:r w:rsidRPr="00230ADD">
        <w:t>Hz</w:t>
      </w:r>
      <w:proofErr w:type="spellEnd"/>
      <w:r w:rsidRPr="00230ADD">
        <w:t xml:space="preserve"> – 0 pkt </w:t>
      </w:r>
    </w:p>
    <w:p w14:paraId="1E5B4943" w14:textId="77777777" w:rsidR="00E76D8E" w:rsidRPr="00230ADD" w:rsidRDefault="00E76D8E" w:rsidP="00E76D8E">
      <w:r w:rsidRPr="00230ADD">
        <w:rPr>
          <w:b/>
          <w:bCs/>
        </w:rPr>
        <w:t>2. Możliwość automatycznej rejestracji filmu (dokumentacji) z procesu mikrodysekcji przez oprogramowanie sterujące systemem</w:t>
      </w:r>
    </w:p>
    <w:p w14:paraId="2F166463" w14:textId="77777777" w:rsidR="00E76D8E" w:rsidRPr="00230ADD" w:rsidRDefault="00E76D8E" w:rsidP="00E76D8E">
      <w:pPr>
        <w:numPr>
          <w:ilvl w:val="0"/>
          <w:numId w:val="29"/>
        </w:numPr>
      </w:pPr>
      <w:r w:rsidRPr="00230ADD">
        <w:t xml:space="preserve">TAK – 5 pkt </w:t>
      </w:r>
    </w:p>
    <w:p w14:paraId="0915EF2A" w14:textId="77777777" w:rsidR="00E76D8E" w:rsidRPr="00230ADD" w:rsidRDefault="00E76D8E" w:rsidP="00E76D8E">
      <w:pPr>
        <w:numPr>
          <w:ilvl w:val="0"/>
          <w:numId w:val="29"/>
        </w:numPr>
      </w:pPr>
      <w:r w:rsidRPr="00230ADD">
        <w:t xml:space="preserve">NIE – 0 pkt </w:t>
      </w:r>
    </w:p>
    <w:p w14:paraId="3253C432" w14:textId="77777777" w:rsidR="00337A11" w:rsidRPr="00230ADD" w:rsidRDefault="00337A11" w:rsidP="00337A11">
      <w:pPr>
        <w:rPr>
          <w:b/>
          <w:bCs/>
        </w:rPr>
      </w:pPr>
      <w:r w:rsidRPr="00230ADD">
        <w:rPr>
          <w:b/>
          <w:bCs/>
        </w:rPr>
        <w:t>3. Możliwy zakres dostępnych powiększeń dedykowanych do mikrodysekcji</w:t>
      </w:r>
    </w:p>
    <w:p w14:paraId="529A7B98" w14:textId="77777777" w:rsidR="00337A11" w:rsidRPr="00230ADD" w:rsidRDefault="00337A11" w:rsidP="00337A11">
      <w:pPr>
        <w:numPr>
          <w:ilvl w:val="0"/>
          <w:numId w:val="30"/>
        </w:numPr>
      </w:pPr>
      <w:r w:rsidRPr="00230ADD">
        <w:lastRenderedPageBreak/>
        <w:t xml:space="preserve">minimum od ≤1,25× do ≥150× – 5 pkt </w:t>
      </w:r>
    </w:p>
    <w:p w14:paraId="6E0BA09A" w14:textId="77777777" w:rsidR="00337A11" w:rsidRPr="00230ADD" w:rsidRDefault="00337A11" w:rsidP="00337A11">
      <w:pPr>
        <w:numPr>
          <w:ilvl w:val="0"/>
          <w:numId w:val="30"/>
        </w:numPr>
      </w:pPr>
      <w:r w:rsidRPr="00230ADD">
        <w:t xml:space="preserve">mniejszy zakres – 0 pkt </w:t>
      </w:r>
    </w:p>
    <w:p w14:paraId="5E25FD80" w14:textId="77777777" w:rsidR="00CC06F3" w:rsidRPr="00230ADD" w:rsidRDefault="00CC06F3" w:rsidP="00CC06F3">
      <w:pPr>
        <w:rPr>
          <w:b/>
          <w:bCs/>
        </w:rPr>
      </w:pPr>
      <w:r w:rsidRPr="00230ADD">
        <w:rPr>
          <w:b/>
          <w:bCs/>
        </w:rPr>
        <w:t>4. Konstrukcja prowadzenia lasera - prowadzenie wiązki lasera przez tor optyczny mikroskopu i obiektyw do obserwacji preparatów</w:t>
      </w:r>
    </w:p>
    <w:p w14:paraId="727AF648" w14:textId="77777777" w:rsidR="00CC06F3" w:rsidRPr="00230ADD" w:rsidRDefault="00CC06F3" w:rsidP="00CC06F3">
      <w:pPr>
        <w:numPr>
          <w:ilvl w:val="0"/>
          <w:numId w:val="31"/>
        </w:numPr>
      </w:pPr>
      <w:r w:rsidRPr="00230ADD">
        <w:t xml:space="preserve">TAK – 10 pkt </w:t>
      </w:r>
    </w:p>
    <w:p w14:paraId="72471FBD" w14:textId="77777777" w:rsidR="00CC06F3" w:rsidRPr="00230ADD" w:rsidRDefault="00CC06F3" w:rsidP="00CC06F3">
      <w:pPr>
        <w:numPr>
          <w:ilvl w:val="0"/>
          <w:numId w:val="31"/>
        </w:numPr>
      </w:pPr>
      <w:r w:rsidRPr="00230ADD">
        <w:t>NIE – 0 pkt</w:t>
      </w:r>
    </w:p>
    <w:p w14:paraId="12BCC5A5" w14:textId="77777777" w:rsidR="00DB179B" w:rsidRPr="00E94CA2" w:rsidRDefault="00DB179B" w:rsidP="00DB179B">
      <w:pPr>
        <w:rPr>
          <w:rFonts w:cstheme="minorHAnsi"/>
          <w:b/>
          <w:bCs/>
          <w:u w:val="single"/>
        </w:rPr>
      </w:pPr>
      <w:r w:rsidRPr="00E94CA2">
        <w:rPr>
          <w:rFonts w:cstheme="minorHAnsi"/>
          <w:b/>
          <w:bCs/>
          <w:u w:val="single"/>
        </w:rPr>
        <w:t>Zielone kryteria środowiskowo-eksploatacyjne</w:t>
      </w:r>
    </w:p>
    <w:p w14:paraId="6EF7174A" w14:textId="77777777" w:rsidR="00DB179B" w:rsidRPr="00E94CA2" w:rsidRDefault="00DB179B" w:rsidP="00DB179B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E94CA2">
        <w:rPr>
          <w:rFonts w:eastAsia="Times New Roman" w:cstheme="minorHAnsi"/>
          <w:b/>
          <w:bCs/>
          <w:lang w:eastAsia="pl-PL"/>
        </w:rPr>
        <w:t>Efektywność energetyczna systemu — 5 pkt</w:t>
      </w:r>
      <w:r w:rsidRPr="00E94CA2">
        <w:rPr>
          <w:rFonts w:eastAsia="Times New Roman" w:cstheme="minorHAnsi"/>
          <w:lang w:eastAsia="pl-PL"/>
        </w:rPr>
        <w:br/>
        <w:t>Punkty zostaną przyznane na podstawie deklarowanego łącznego zapotrzebowania na moc elektryczną głównych elementów systemu. Najniższa wartość otrzyma 5 pkt, pozostałe proporcjonalnie według wzoru:</w:t>
      </w:r>
      <w:r w:rsidRPr="00E94CA2">
        <w:rPr>
          <w:rFonts w:eastAsia="Times New Roman" w:cstheme="minorHAnsi"/>
          <w:lang w:eastAsia="pl-PL"/>
        </w:rPr>
        <w:br/>
      </w:r>
      <w:r w:rsidRPr="00E94CA2">
        <w:rPr>
          <w:rFonts w:eastAsia="Times New Roman" w:cstheme="minorHAnsi"/>
          <w:b/>
          <w:bCs/>
          <w:lang w:eastAsia="pl-PL"/>
        </w:rPr>
        <w:t xml:space="preserve">P = 5 × Emin / </w:t>
      </w:r>
      <w:proofErr w:type="spellStart"/>
      <w:r w:rsidRPr="00E94CA2">
        <w:rPr>
          <w:rFonts w:eastAsia="Times New Roman" w:cstheme="minorHAnsi"/>
          <w:b/>
          <w:bCs/>
          <w:lang w:eastAsia="pl-PL"/>
        </w:rPr>
        <w:t>Ebad</w:t>
      </w:r>
      <w:proofErr w:type="spellEnd"/>
      <w:r w:rsidRPr="00E94CA2">
        <w:rPr>
          <w:rFonts w:eastAsia="Times New Roman" w:cstheme="minorHAnsi"/>
          <w:lang w:eastAsia="pl-PL"/>
        </w:rPr>
        <w:t xml:space="preserve">. </w:t>
      </w:r>
    </w:p>
    <w:p w14:paraId="3BBDA1BC" w14:textId="77777777" w:rsidR="00DB179B" w:rsidRPr="00E94CA2" w:rsidRDefault="00DB179B" w:rsidP="00DB179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E94CA2">
        <w:rPr>
          <w:rFonts w:eastAsia="Times New Roman" w:cstheme="minorHAnsi"/>
          <w:b/>
          <w:bCs/>
          <w:lang w:eastAsia="pl-PL"/>
        </w:rPr>
        <w:t>Serwisowalność i dostępność części — 5 pkt</w:t>
      </w:r>
      <w:r w:rsidRPr="00E94CA2">
        <w:rPr>
          <w:rFonts w:eastAsia="Times New Roman" w:cstheme="minorHAnsi"/>
          <w:lang w:eastAsia="pl-PL"/>
        </w:rPr>
        <w:br/>
        <w:t>5 pkt — dostępność części i wsparcia przez co najmniej 13 lat;</w:t>
      </w:r>
      <w:r w:rsidRPr="00E94CA2">
        <w:rPr>
          <w:rFonts w:eastAsia="Times New Roman" w:cstheme="minorHAnsi"/>
          <w:lang w:eastAsia="pl-PL"/>
        </w:rPr>
        <w:br/>
        <w:t>3 pkt — dostępność przez co najmniej 12 lat;</w:t>
      </w:r>
      <w:r w:rsidRPr="00E94CA2">
        <w:rPr>
          <w:rFonts w:eastAsia="Times New Roman" w:cstheme="minorHAnsi"/>
          <w:lang w:eastAsia="pl-PL"/>
        </w:rPr>
        <w:br/>
        <w:t>1 pkt — dostępność przez co najmniej 11 lat;</w:t>
      </w:r>
      <w:r w:rsidRPr="00E94CA2">
        <w:rPr>
          <w:rFonts w:eastAsia="Times New Roman" w:cstheme="minorHAnsi"/>
          <w:lang w:eastAsia="pl-PL"/>
        </w:rPr>
        <w:br/>
        <w:t xml:space="preserve">0 pkt — dostępność przez co najmniej 10 lat. </w:t>
      </w:r>
    </w:p>
    <w:p w14:paraId="74F28EBF" w14:textId="565A428A" w:rsidR="00DB179B" w:rsidRPr="00E94CA2" w:rsidRDefault="00DB179B" w:rsidP="00DB179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E94CA2">
        <w:rPr>
          <w:rFonts w:eastAsia="Times New Roman" w:cstheme="minorHAnsi"/>
          <w:b/>
          <w:bCs/>
          <w:lang w:eastAsia="pl-PL"/>
        </w:rPr>
        <w:t>Modularność i rozbudowywalność — 5 pkt</w:t>
      </w:r>
      <w:r w:rsidRPr="00E94CA2">
        <w:rPr>
          <w:rFonts w:eastAsia="Times New Roman" w:cstheme="minorHAnsi"/>
          <w:lang w:eastAsia="pl-PL"/>
        </w:rPr>
        <w:br/>
        <w:t>5 pkt — możliwość rozbudowy/wymiany co najmniej trzech typów modułów funkcjonalnych bez wymiany całego systemu;</w:t>
      </w:r>
      <w:r w:rsidRPr="00E94CA2">
        <w:rPr>
          <w:rFonts w:eastAsia="Times New Roman" w:cstheme="minorHAnsi"/>
          <w:lang w:eastAsia="pl-PL"/>
        </w:rPr>
        <w:br/>
      </w:r>
      <w:r w:rsidR="00DF10FD">
        <w:rPr>
          <w:rFonts w:eastAsia="Times New Roman" w:cstheme="minorHAnsi"/>
          <w:lang w:eastAsia="pl-PL"/>
        </w:rPr>
        <w:t>3</w:t>
      </w:r>
      <w:r w:rsidRPr="00E94CA2">
        <w:rPr>
          <w:rFonts w:eastAsia="Times New Roman" w:cstheme="minorHAnsi"/>
          <w:lang w:eastAsia="pl-PL"/>
        </w:rPr>
        <w:t xml:space="preserve"> pkt — możliwość rozbudowy/wymiany dwóch typów modułów;</w:t>
      </w:r>
      <w:r w:rsidRPr="00E94CA2">
        <w:rPr>
          <w:rFonts w:eastAsia="Times New Roman" w:cstheme="minorHAnsi"/>
          <w:lang w:eastAsia="pl-PL"/>
        </w:rPr>
        <w:br/>
        <w:t>1 pkt — możliwość rozbudowy/wymiany jednego typu modułu;</w:t>
      </w:r>
      <w:r w:rsidRPr="00E94CA2">
        <w:rPr>
          <w:rFonts w:eastAsia="Times New Roman" w:cstheme="minorHAnsi"/>
          <w:lang w:eastAsia="pl-PL"/>
        </w:rPr>
        <w:br/>
        <w:t>0 pkt — brak udokumentowanej modularności.</w:t>
      </w:r>
    </w:p>
    <w:p w14:paraId="7818C53C" w14:textId="77777777" w:rsidR="000935B5" w:rsidRDefault="000935B5" w:rsidP="00DB179B">
      <w:pPr>
        <w:ind w:left="720" w:hanging="360"/>
        <w:jc w:val="both"/>
        <w:rPr>
          <w:b/>
          <w:bCs/>
          <w:sz w:val="24"/>
          <w:szCs w:val="24"/>
        </w:rPr>
      </w:pPr>
    </w:p>
    <w:sectPr w:rsidR="000935B5" w:rsidSect="00DA5C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32346" w14:textId="77777777" w:rsidR="00327A7B" w:rsidRDefault="00327A7B" w:rsidP="00587451">
      <w:pPr>
        <w:spacing w:after="0" w:line="240" w:lineRule="auto"/>
      </w:pPr>
      <w:r>
        <w:separator/>
      </w:r>
    </w:p>
  </w:endnote>
  <w:endnote w:type="continuationSeparator" w:id="0">
    <w:p w14:paraId="74503DB3" w14:textId="77777777" w:rsidR="00327A7B" w:rsidRDefault="00327A7B" w:rsidP="0058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DBED2" w14:textId="77777777" w:rsidR="00587451" w:rsidRDefault="005874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F2C9A" w14:textId="77777777" w:rsidR="00587451" w:rsidRDefault="005874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58ACF" w14:textId="77777777" w:rsidR="00587451" w:rsidRDefault="005874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2EFED" w14:textId="77777777" w:rsidR="00327A7B" w:rsidRDefault="00327A7B" w:rsidP="00587451">
      <w:pPr>
        <w:spacing w:after="0" w:line="240" w:lineRule="auto"/>
      </w:pPr>
      <w:r>
        <w:separator/>
      </w:r>
    </w:p>
  </w:footnote>
  <w:footnote w:type="continuationSeparator" w:id="0">
    <w:p w14:paraId="49131592" w14:textId="77777777" w:rsidR="00327A7B" w:rsidRDefault="00327A7B" w:rsidP="0058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09E7F" w14:textId="77777777" w:rsidR="00587451" w:rsidRDefault="005874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CF677" w14:textId="57FB1F3C" w:rsidR="00587451" w:rsidRDefault="00587451">
    <w:pPr>
      <w:pStyle w:val="Nagwek"/>
    </w:pPr>
    <w:r>
      <w:rPr>
        <w:noProof/>
      </w:rPr>
      <w:drawing>
        <wp:inline distT="0" distB="0" distL="0" distR="0" wp14:anchorId="57EA1A2F" wp14:editId="759D2FF7">
          <wp:extent cx="5760720" cy="561975"/>
          <wp:effectExtent l="0" t="0" r="0" b="9525"/>
          <wp:docPr id="583059178" name="Obraz 872524213" descr="Obraz zawierający zrzut ekranu, Wielobarwność, Prostokąt, kwadrat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872524213" descr="Obraz zawierający zrzut ekranu, Wielobarwność, Prostokąt, kwadrat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1063" b="16370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C3FDCA" w14:textId="77777777" w:rsidR="00DA5C31" w:rsidRDefault="00DA5C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4B1AF" w14:textId="77777777" w:rsidR="00587451" w:rsidRDefault="005874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90ED9"/>
    <w:multiLevelType w:val="hybridMultilevel"/>
    <w:tmpl w:val="7936ACEC"/>
    <w:lvl w:ilvl="0" w:tplc="530203B2">
      <w:start w:val="1"/>
      <w:numFmt w:val="decimal"/>
      <w:lvlText w:val="%1."/>
      <w:lvlJc w:val="left"/>
      <w:pPr>
        <w:ind w:left="325" w:hanging="21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5444A8C">
      <w:numFmt w:val="bullet"/>
      <w:lvlText w:val="•"/>
      <w:lvlJc w:val="left"/>
      <w:pPr>
        <w:ind w:left="1092" w:hanging="219"/>
      </w:pPr>
      <w:rPr>
        <w:rFonts w:hint="default"/>
        <w:lang w:val="pl-PL" w:eastAsia="en-US" w:bidi="ar-SA"/>
      </w:rPr>
    </w:lvl>
    <w:lvl w:ilvl="2" w:tplc="718A493C">
      <w:numFmt w:val="bullet"/>
      <w:lvlText w:val="•"/>
      <w:lvlJc w:val="left"/>
      <w:pPr>
        <w:ind w:left="1864" w:hanging="219"/>
      </w:pPr>
      <w:rPr>
        <w:rFonts w:hint="default"/>
        <w:lang w:val="pl-PL" w:eastAsia="en-US" w:bidi="ar-SA"/>
      </w:rPr>
    </w:lvl>
    <w:lvl w:ilvl="3" w:tplc="D5A2245E">
      <w:numFmt w:val="bullet"/>
      <w:lvlText w:val="•"/>
      <w:lvlJc w:val="left"/>
      <w:pPr>
        <w:ind w:left="2636" w:hanging="219"/>
      </w:pPr>
      <w:rPr>
        <w:rFonts w:hint="default"/>
        <w:lang w:val="pl-PL" w:eastAsia="en-US" w:bidi="ar-SA"/>
      </w:rPr>
    </w:lvl>
    <w:lvl w:ilvl="4" w:tplc="6F0E0C62">
      <w:numFmt w:val="bullet"/>
      <w:lvlText w:val="•"/>
      <w:lvlJc w:val="left"/>
      <w:pPr>
        <w:ind w:left="3408" w:hanging="219"/>
      </w:pPr>
      <w:rPr>
        <w:rFonts w:hint="default"/>
        <w:lang w:val="pl-PL" w:eastAsia="en-US" w:bidi="ar-SA"/>
      </w:rPr>
    </w:lvl>
    <w:lvl w:ilvl="5" w:tplc="6534FD8A">
      <w:numFmt w:val="bullet"/>
      <w:lvlText w:val="•"/>
      <w:lvlJc w:val="left"/>
      <w:pPr>
        <w:ind w:left="4181" w:hanging="219"/>
      </w:pPr>
      <w:rPr>
        <w:rFonts w:hint="default"/>
        <w:lang w:val="pl-PL" w:eastAsia="en-US" w:bidi="ar-SA"/>
      </w:rPr>
    </w:lvl>
    <w:lvl w:ilvl="6" w:tplc="52C48E0A">
      <w:numFmt w:val="bullet"/>
      <w:lvlText w:val="•"/>
      <w:lvlJc w:val="left"/>
      <w:pPr>
        <w:ind w:left="4953" w:hanging="219"/>
      </w:pPr>
      <w:rPr>
        <w:rFonts w:hint="default"/>
        <w:lang w:val="pl-PL" w:eastAsia="en-US" w:bidi="ar-SA"/>
      </w:rPr>
    </w:lvl>
    <w:lvl w:ilvl="7" w:tplc="B3487116">
      <w:numFmt w:val="bullet"/>
      <w:lvlText w:val="•"/>
      <w:lvlJc w:val="left"/>
      <w:pPr>
        <w:ind w:left="5725" w:hanging="219"/>
      </w:pPr>
      <w:rPr>
        <w:rFonts w:hint="default"/>
        <w:lang w:val="pl-PL" w:eastAsia="en-US" w:bidi="ar-SA"/>
      </w:rPr>
    </w:lvl>
    <w:lvl w:ilvl="8" w:tplc="B69E590A">
      <w:numFmt w:val="bullet"/>
      <w:lvlText w:val="•"/>
      <w:lvlJc w:val="left"/>
      <w:pPr>
        <w:ind w:left="6497" w:hanging="219"/>
      </w:pPr>
      <w:rPr>
        <w:rFonts w:hint="default"/>
        <w:lang w:val="pl-PL" w:eastAsia="en-US" w:bidi="ar-SA"/>
      </w:rPr>
    </w:lvl>
  </w:abstractNum>
  <w:abstractNum w:abstractNumId="1" w15:restartNumberingAfterBreak="0">
    <w:nsid w:val="06E95475"/>
    <w:multiLevelType w:val="hybridMultilevel"/>
    <w:tmpl w:val="7DD48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10"/>
    <w:multiLevelType w:val="hybridMultilevel"/>
    <w:tmpl w:val="5132715A"/>
    <w:lvl w:ilvl="0" w:tplc="F212602C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HAnsi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96A7C"/>
    <w:multiLevelType w:val="multilevel"/>
    <w:tmpl w:val="F038302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4F08EB"/>
    <w:multiLevelType w:val="hybridMultilevel"/>
    <w:tmpl w:val="958EE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2404C"/>
    <w:multiLevelType w:val="multilevel"/>
    <w:tmpl w:val="B47EF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1D4BBB"/>
    <w:multiLevelType w:val="multilevel"/>
    <w:tmpl w:val="0A2A712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37474"/>
    <w:multiLevelType w:val="hybridMultilevel"/>
    <w:tmpl w:val="88908CAE"/>
    <w:lvl w:ilvl="0" w:tplc="CC92A7C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24935FF1"/>
    <w:multiLevelType w:val="multilevel"/>
    <w:tmpl w:val="FA704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6D418A"/>
    <w:multiLevelType w:val="multilevel"/>
    <w:tmpl w:val="3AB82F6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9C0717"/>
    <w:multiLevelType w:val="hybridMultilevel"/>
    <w:tmpl w:val="953EDB40"/>
    <w:lvl w:ilvl="0" w:tplc="CB227182">
      <w:start w:val="1"/>
      <w:numFmt w:val="bullet"/>
      <w:pStyle w:val="Nadpunk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496D01"/>
    <w:multiLevelType w:val="multilevel"/>
    <w:tmpl w:val="F64A0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3F234B"/>
    <w:multiLevelType w:val="multilevel"/>
    <w:tmpl w:val="63DED3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A27885"/>
    <w:multiLevelType w:val="hybridMultilevel"/>
    <w:tmpl w:val="B9F68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25A34"/>
    <w:multiLevelType w:val="multilevel"/>
    <w:tmpl w:val="AFF85B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A434A8"/>
    <w:multiLevelType w:val="multilevel"/>
    <w:tmpl w:val="942244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D924AE"/>
    <w:multiLevelType w:val="multilevel"/>
    <w:tmpl w:val="AFF0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51289B"/>
    <w:multiLevelType w:val="hybridMultilevel"/>
    <w:tmpl w:val="E5DCE734"/>
    <w:lvl w:ilvl="0" w:tplc="04150001">
      <w:start w:val="1"/>
      <w:numFmt w:val="bullet"/>
      <w:pStyle w:val="Listapunktowan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213FA6"/>
    <w:multiLevelType w:val="multilevel"/>
    <w:tmpl w:val="20641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E4B16"/>
    <w:multiLevelType w:val="hybridMultilevel"/>
    <w:tmpl w:val="2E6A0AC0"/>
    <w:lvl w:ilvl="0" w:tplc="A27AC14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F67ED0"/>
    <w:multiLevelType w:val="hybridMultilevel"/>
    <w:tmpl w:val="6DE087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566521"/>
    <w:multiLevelType w:val="multilevel"/>
    <w:tmpl w:val="EFA63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811FCC"/>
    <w:multiLevelType w:val="multilevel"/>
    <w:tmpl w:val="F8625E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0104B0"/>
    <w:multiLevelType w:val="multilevel"/>
    <w:tmpl w:val="945E550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BD060E7"/>
    <w:multiLevelType w:val="multilevel"/>
    <w:tmpl w:val="B0E4A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360761"/>
    <w:multiLevelType w:val="multilevel"/>
    <w:tmpl w:val="AD960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A47E8E"/>
    <w:multiLevelType w:val="multilevel"/>
    <w:tmpl w:val="DD6630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8A267F"/>
    <w:multiLevelType w:val="hybridMultilevel"/>
    <w:tmpl w:val="181C4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AA5F92"/>
    <w:multiLevelType w:val="multilevel"/>
    <w:tmpl w:val="4A589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7F6CC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83159706">
    <w:abstractNumId w:val="1"/>
  </w:num>
  <w:num w:numId="2" w16cid:durableId="751202139">
    <w:abstractNumId w:val="2"/>
  </w:num>
  <w:num w:numId="3" w16cid:durableId="487862517">
    <w:abstractNumId w:val="0"/>
  </w:num>
  <w:num w:numId="4" w16cid:durableId="1578395588">
    <w:abstractNumId w:val="14"/>
  </w:num>
  <w:num w:numId="5" w16cid:durableId="375007477">
    <w:abstractNumId w:val="18"/>
  </w:num>
  <w:num w:numId="6" w16cid:durableId="297616867">
    <w:abstractNumId w:val="21"/>
  </w:num>
  <w:num w:numId="7" w16cid:durableId="1671565193">
    <w:abstractNumId w:val="28"/>
  </w:num>
  <w:num w:numId="8" w16cid:durableId="1418748807">
    <w:abstractNumId w:val="10"/>
  </w:num>
  <w:num w:numId="9" w16cid:durableId="1928229803">
    <w:abstractNumId w:val="7"/>
  </w:num>
  <w:num w:numId="10" w16cid:durableId="1589119942">
    <w:abstractNumId w:val="13"/>
  </w:num>
  <w:num w:numId="11" w16cid:durableId="1579166566">
    <w:abstractNumId w:val="20"/>
  </w:num>
  <w:num w:numId="12" w16cid:durableId="1502818372">
    <w:abstractNumId w:val="8"/>
  </w:num>
  <w:num w:numId="13" w16cid:durableId="191841533">
    <w:abstractNumId w:val="12"/>
  </w:num>
  <w:num w:numId="14" w16cid:durableId="1958636846">
    <w:abstractNumId w:val="16"/>
  </w:num>
  <w:num w:numId="15" w16cid:durableId="2006057107">
    <w:abstractNumId w:val="23"/>
  </w:num>
  <w:num w:numId="16" w16cid:durableId="1867864568">
    <w:abstractNumId w:val="27"/>
  </w:num>
  <w:num w:numId="17" w16cid:durableId="1626233077">
    <w:abstractNumId w:val="15"/>
  </w:num>
  <w:num w:numId="18" w16cid:durableId="630552773">
    <w:abstractNumId w:val="3"/>
  </w:num>
  <w:num w:numId="19" w16cid:durableId="2054036470">
    <w:abstractNumId w:val="6"/>
  </w:num>
  <w:num w:numId="20" w16cid:durableId="1153375538">
    <w:abstractNumId w:val="9"/>
  </w:num>
  <w:num w:numId="21" w16cid:durableId="1283922503">
    <w:abstractNumId w:val="17"/>
  </w:num>
  <w:num w:numId="22" w16cid:durableId="1967155737">
    <w:abstractNumId w:val="11"/>
  </w:num>
  <w:num w:numId="23" w16cid:durableId="838353751">
    <w:abstractNumId w:val="29"/>
  </w:num>
  <w:num w:numId="24" w16cid:durableId="910581309">
    <w:abstractNumId w:val="25"/>
  </w:num>
  <w:num w:numId="25" w16cid:durableId="768817338">
    <w:abstractNumId w:val="30"/>
  </w:num>
  <w:num w:numId="26" w16cid:durableId="1957443269">
    <w:abstractNumId w:val="24"/>
  </w:num>
  <w:num w:numId="27" w16cid:durableId="499614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06270571">
    <w:abstractNumId w:val="22"/>
  </w:num>
  <w:num w:numId="29" w16cid:durableId="790589158">
    <w:abstractNumId w:val="26"/>
  </w:num>
  <w:num w:numId="30" w16cid:durableId="488446330">
    <w:abstractNumId w:val="5"/>
  </w:num>
  <w:num w:numId="31" w16cid:durableId="55184397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7"/>
    <w:rsid w:val="000132E7"/>
    <w:rsid w:val="000865B6"/>
    <w:rsid w:val="000935B5"/>
    <w:rsid w:val="000A3F69"/>
    <w:rsid w:val="000E4265"/>
    <w:rsid w:val="00120090"/>
    <w:rsid w:val="00124FAA"/>
    <w:rsid w:val="00150F8D"/>
    <w:rsid w:val="00152A8A"/>
    <w:rsid w:val="00190C45"/>
    <w:rsid w:val="001D6C2D"/>
    <w:rsid w:val="001E0166"/>
    <w:rsid w:val="001F257F"/>
    <w:rsid w:val="00231645"/>
    <w:rsid w:val="00267A9C"/>
    <w:rsid w:val="002A4EED"/>
    <w:rsid w:val="002B5C4B"/>
    <w:rsid w:val="002E6099"/>
    <w:rsid w:val="003132BA"/>
    <w:rsid w:val="00316E05"/>
    <w:rsid w:val="00327A7B"/>
    <w:rsid w:val="00337A11"/>
    <w:rsid w:val="00345920"/>
    <w:rsid w:val="003A621A"/>
    <w:rsid w:val="003B1719"/>
    <w:rsid w:val="003B2FB2"/>
    <w:rsid w:val="003B3FA6"/>
    <w:rsid w:val="003B771D"/>
    <w:rsid w:val="003E0159"/>
    <w:rsid w:val="003F349D"/>
    <w:rsid w:val="00404AA6"/>
    <w:rsid w:val="00457092"/>
    <w:rsid w:val="00462991"/>
    <w:rsid w:val="00463B3A"/>
    <w:rsid w:val="00482905"/>
    <w:rsid w:val="004D1CC5"/>
    <w:rsid w:val="004E1AB8"/>
    <w:rsid w:val="004E792D"/>
    <w:rsid w:val="00505F8E"/>
    <w:rsid w:val="00587451"/>
    <w:rsid w:val="0059643C"/>
    <w:rsid w:val="00636520"/>
    <w:rsid w:val="00663CD3"/>
    <w:rsid w:val="006819BB"/>
    <w:rsid w:val="006A1C54"/>
    <w:rsid w:val="006C33A8"/>
    <w:rsid w:val="006D75B0"/>
    <w:rsid w:val="00716828"/>
    <w:rsid w:val="00725929"/>
    <w:rsid w:val="00744BEC"/>
    <w:rsid w:val="00780D33"/>
    <w:rsid w:val="007A6816"/>
    <w:rsid w:val="00856FE4"/>
    <w:rsid w:val="00907CCD"/>
    <w:rsid w:val="00911A42"/>
    <w:rsid w:val="00921AE3"/>
    <w:rsid w:val="00921F36"/>
    <w:rsid w:val="0093193B"/>
    <w:rsid w:val="00966C4B"/>
    <w:rsid w:val="00985EDE"/>
    <w:rsid w:val="009906A9"/>
    <w:rsid w:val="00995B7F"/>
    <w:rsid w:val="009E1B3C"/>
    <w:rsid w:val="009F4D53"/>
    <w:rsid w:val="00A5759B"/>
    <w:rsid w:val="00A87672"/>
    <w:rsid w:val="00A93DF0"/>
    <w:rsid w:val="00B21736"/>
    <w:rsid w:val="00B37197"/>
    <w:rsid w:val="00B64252"/>
    <w:rsid w:val="00BD13B7"/>
    <w:rsid w:val="00C44AEC"/>
    <w:rsid w:val="00C71677"/>
    <w:rsid w:val="00C84674"/>
    <w:rsid w:val="00CC06F3"/>
    <w:rsid w:val="00CD683F"/>
    <w:rsid w:val="00D132CA"/>
    <w:rsid w:val="00DA5C31"/>
    <w:rsid w:val="00DB179B"/>
    <w:rsid w:val="00DF10FD"/>
    <w:rsid w:val="00E15219"/>
    <w:rsid w:val="00E415A1"/>
    <w:rsid w:val="00E76D8E"/>
    <w:rsid w:val="00E9195A"/>
    <w:rsid w:val="00E94CA2"/>
    <w:rsid w:val="00EA3200"/>
    <w:rsid w:val="00F06ED8"/>
    <w:rsid w:val="00F838DB"/>
    <w:rsid w:val="00F91DA9"/>
    <w:rsid w:val="00FE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142D"/>
  <w15:chartTrackingRefBased/>
  <w15:docId w15:val="{AAAA08AF-60B8-4A71-9728-9A75B6C1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"/>
    <w:basedOn w:val="Normalny"/>
    <w:link w:val="AkapitzlistZnak"/>
    <w:uiPriority w:val="34"/>
    <w:qFormat/>
    <w:rsid w:val="00C71677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3B3FA6"/>
  </w:style>
  <w:style w:type="table" w:customStyle="1" w:styleId="Tabela-Siatka1">
    <w:name w:val="Tabela - Siatka1"/>
    <w:basedOn w:val="Standardowy"/>
    <w:next w:val="Tabela-Siatka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99"/>
    <w:semiHidden/>
    <w:unhideWhenUsed/>
    <w:qFormat/>
    <w:rsid w:val="00463B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63B3A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</w:rPr>
  </w:style>
  <w:style w:type="paragraph" w:customStyle="1" w:styleId="Nadpunkt">
    <w:name w:val="Nadpunkt"/>
    <w:basedOn w:val="Normalny"/>
    <w:autoRedefine/>
    <w:qFormat/>
    <w:rsid w:val="000935B5"/>
    <w:pPr>
      <w:numPr>
        <w:numId w:val="8"/>
      </w:numPr>
      <w:spacing w:before="60" w:after="60" w:line="240" w:lineRule="auto"/>
    </w:pPr>
    <w:rPr>
      <w:rFonts w:ascii="Times New Roman" w:eastAsia="Times New Roman" w:hAnsi="Times New Roman" w:cs="Times New Roman"/>
      <w:lang w:eastAsia="ja-JP"/>
    </w:rPr>
  </w:style>
  <w:style w:type="paragraph" w:styleId="Listapunktowana">
    <w:name w:val="List Bullet"/>
    <w:basedOn w:val="Normalny"/>
    <w:uiPriority w:val="99"/>
    <w:unhideWhenUsed/>
    <w:rsid w:val="000935B5"/>
    <w:pPr>
      <w:numPr>
        <w:numId w:val="5"/>
      </w:numPr>
      <w:contextualSpacing/>
    </w:pPr>
    <w:rPr>
      <w:kern w:val="2"/>
      <w14:ligatures w14:val="standardContextual"/>
    </w:rPr>
  </w:style>
  <w:style w:type="character" w:styleId="Pogrubienie">
    <w:name w:val="Strong"/>
    <w:basedOn w:val="Domylnaczcionkaakapitu"/>
    <w:uiPriority w:val="22"/>
    <w:qFormat/>
    <w:rsid w:val="00DB179B"/>
    <w:rPr>
      <w:b/>
      <w:bCs/>
    </w:rPr>
  </w:style>
  <w:style w:type="character" w:customStyle="1" w:styleId="Nagwek3Znak">
    <w:name w:val="Nagłówek 3 Znak"/>
    <w:basedOn w:val="Domylnaczcionkaakapitu"/>
    <w:uiPriority w:val="9"/>
    <w:rsid w:val="00DB179B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17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B179B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B179B"/>
    <w:rPr>
      <w:kern w:val="2"/>
      <w:sz w:val="20"/>
      <w:szCs w:val="20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736"/>
    <w:rPr>
      <w:b/>
      <w:bCs/>
      <w:kern w:val="0"/>
      <w14:ligatures w14:val="non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736"/>
    <w:rPr>
      <w:b/>
      <w:bCs/>
      <w:kern w:val="2"/>
      <w:sz w:val="20"/>
      <w:szCs w:val="20"/>
      <w14:ligatures w14:val="standardContextual"/>
    </w:rPr>
  </w:style>
  <w:style w:type="paragraph" w:styleId="Nagwek">
    <w:name w:val="header"/>
    <w:basedOn w:val="Normalny"/>
    <w:link w:val="NagwekZnak"/>
    <w:uiPriority w:val="99"/>
    <w:unhideWhenUsed/>
    <w:rsid w:val="00587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7451"/>
  </w:style>
  <w:style w:type="paragraph" w:styleId="Stopka">
    <w:name w:val="footer"/>
    <w:basedOn w:val="Normalny"/>
    <w:link w:val="StopkaZnak"/>
    <w:uiPriority w:val="99"/>
    <w:unhideWhenUsed/>
    <w:rsid w:val="00587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7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2531</Words>
  <Characters>15189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3</cp:revision>
  <dcterms:created xsi:type="dcterms:W3CDTF">2026-08-14T11:02:00Z</dcterms:created>
  <dcterms:modified xsi:type="dcterms:W3CDTF">2026-08-20T10:49:00Z</dcterms:modified>
</cp:coreProperties>
</file>