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AD02B" w14:textId="23B9F6C7" w:rsidR="00663CD3" w:rsidRDefault="00663CD3" w:rsidP="00663CD3">
      <w:pPr>
        <w:ind w:left="5676" w:firstLine="69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A do SWZ</w:t>
      </w:r>
    </w:p>
    <w:p w14:paraId="7252FA17" w14:textId="3DB8DD90" w:rsidR="00457092" w:rsidRDefault="00457092" w:rsidP="00457092">
      <w:pPr>
        <w:ind w:left="720" w:hanging="360"/>
        <w:jc w:val="center"/>
        <w:rPr>
          <w:b/>
          <w:bCs/>
          <w:sz w:val="24"/>
          <w:szCs w:val="24"/>
        </w:rPr>
      </w:pPr>
      <w:r w:rsidRPr="00457092">
        <w:rPr>
          <w:b/>
          <w:bCs/>
          <w:sz w:val="24"/>
          <w:szCs w:val="24"/>
        </w:rPr>
        <w:t>OPIS PRZEDMIOTU ZAMÓWIENIA</w:t>
      </w:r>
    </w:p>
    <w:p w14:paraId="381EF71A" w14:textId="0FBC0B9F" w:rsidR="00DB179B" w:rsidRPr="00B07C83" w:rsidRDefault="00DB179B" w:rsidP="00DB179B">
      <w:pPr>
        <w:jc w:val="center"/>
        <w:rPr>
          <w:b/>
          <w:bCs/>
        </w:rPr>
      </w:pPr>
      <w:r w:rsidRPr="00B07C83">
        <w:rPr>
          <w:b/>
          <w:bCs/>
        </w:rPr>
        <w:t>System</w:t>
      </w:r>
      <w:r w:rsidR="00255078" w:rsidRPr="00255078">
        <w:rPr>
          <w:b/>
          <w:bCs/>
        </w:rPr>
        <w:t xml:space="preserve"> do obserwacji roślin zgodnie z bodźcem </w:t>
      </w:r>
      <w:proofErr w:type="spellStart"/>
      <w:r w:rsidR="00255078" w:rsidRPr="00255078">
        <w:rPr>
          <w:b/>
          <w:bCs/>
        </w:rPr>
        <w:t>grawitropicznym</w:t>
      </w:r>
      <w:proofErr w:type="spellEnd"/>
    </w:p>
    <w:p w14:paraId="16FA8082" w14:textId="77777777" w:rsidR="00DB179B" w:rsidRDefault="00DB179B" w:rsidP="001D6C2D">
      <w:pPr>
        <w:jc w:val="both"/>
      </w:pPr>
      <w:r>
        <w:t>Opis przedmiotu zamówienia:</w:t>
      </w:r>
    </w:p>
    <w:p w14:paraId="25C3F8DC" w14:textId="220D4F12" w:rsidR="00D66167" w:rsidRDefault="00D66167" w:rsidP="00120090">
      <w:pPr>
        <w:pStyle w:val="Akapitzlist"/>
        <w:numPr>
          <w:ilvl w:val="0"/>
          <w:numId w:val="25"/>
        </w:numPr>
        <w:spacing w:line="278" w:lineRule="auto"/>
        <w:jc w:val="both"/>
      </w:pPr>
      <w:r w:rsidRPr="00D66167">
        <w:t xml:space="preserve">Mikroskop badawczy odwrócony </w:t>
      </w:r>
    </w:p>
    <w:p w14:paraId="10FD7540" w14:textId="6687D0D2" w:rsidR="00F2094E" w:rsidRPr="00FD0E53" w:rsidRDefault="00F2094E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>
        <w:rPr>
          <w:bCs/>
        </w:rPr>
        <w:t>s</w:t>
      </w:r>
      <w:r w:rsidRPr="00B431E1">
        <w:rPr>
          <w:bCs/>
        </w:rPr>
        <w:t xml:space="preserve">tatyw z wbudowanym fabrycznie, wewnętrznym, automatycznym przesuwem w osi Z o minimalnym kroku maks. </w:t>
      </w:r>
      <w:r>
        <w:rPr>
          <w:bCs/>
        </w:rPr>
        <w:t>10nm, zamontowany wertykalnie do stołu mikroskopowego.</w:t>
      </w:r>
    </w:p>
    <w:p w14:paraId="41ADFCEE" w14:textId="4ACD1B64" w:rsidR="00FD0E53" w:rsidRDefault="00FD0E53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>
        <w:t>s</w:t>
      </w:r>
      <w:r w:rsidRPr="001B201D">
        <w:t>ystem automatycznej korekcji zmian w osi Z spowodowanych dryftami termicznymi oparty na śledzeniu refleksu ze szkiełka nakrywkowego za pomocą diody emitującej światło podczerwone</w:t>
      </w:r>
    </w:p>
    <w:p w14:paraId="1D42056F" w14:textId="0CAAE9DB" w:rsidR="0094529F" w:rsidRDefault="0094529F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 xml:space="preserve">automatyczne obniżanie i podnoszenie </w:t>
      </w:r>
      <w:r>
        <w:t>obiektywów</w:t>
      </w:r>
      <w:r w:rsidRPr="00B431E1">
        <w:t xml:space="preserve"> do płaszczyzny </w:t>
      </w:r>
      <w:proofErr w:type="spellStart"/>
      <w:r w:rsidRPr="00B431E1">
        <w:t>fokalnej</w:t>
      </w:r>
      <w:proofErr w:type="spellEnd"/>
      <w:r w:rsidRPr="00B431E1">
        <w:t xml:space="preserve"> np. do zmiany preparatu, czy zakropienia olejku im</w:t>
      </w:r>
      <w:r>
        <w:t>m</w:t>
      </w:r>
      <w:r w:rsidRPr="00B431E1">
        <w:t>ersyjnego</w:t>
      </w:r>
    </w:p>
    <w:p w14:paraId="7EA83E6F" w14:textId="17701AAB" w:rsidR="00CD10B4" w:rsidRPr="00872E70" w:rsidRDefault="00CD10B4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rPr>
          <w:bCs/>
        </w:rPr>
        <w:t xml:space="preserve">min. 3 porty w mikroskopie umożliwiające jednoczesne </w:t>
      </w:r>
      <w:r>
        <w:rPr>
          <w:bCs/>
        </w:rPr>
        <w:t>podłączenie</w:t>
      </w:r>
      <w:r w:rsidRPr="00B431E1">
        <w:rPr>
          <w:bCs/>
        </w:rPr>
        <w:t xml:space="preserve"> głowic</w:t>
      </w:r>
      <w:r>
        <w:rPr>
          <w:bCs/>
        </w:rPr>
        <w:t>y skanującej,</w:t>
      </w:r>
      <w:r w:rsidRPr="00B431E1">
        <w:rPr>
          <w:bCs/>
        </w:rPr>
        <w:t xml:space="preserve"> </w:t>
      </w:r>
      <w:r>
        <w:rPr>
          <w:bCs/>
        </w:rPr>
        <w:t xml:space="preserve">innych urządzeń dokumentacyjnych </w:t>
      </w:r>
      <w:r w:rsidRPr="00B431E1">
        <w:rPr>
          <w:bCs/>
        </w:rPr>
        <w:t>oraz</w:t>
      </w:r>
      <w:r>
        <w:rPr>
          <w:bCs/>
        </w:rPr>
        <w:t xml:space="preserve"> obserwację</w:t>
      </w:r>
    </w:p>
    <w:p w14:paraId="7CF30A71" w14:textId="12E49022" w:rsidR="00872E70" w:rsidRDefault="00872E70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rPr>
          <w:bCs/>
        </w:rPr>
        <w:t>tubus o kącie pochylenia 45</w:t>
      </w:r>
      <w:r w:rsidRPr="00B431E1">
        <w:t xml:space="preserve">˚, </w:t>
      </w:r>
      <w:r w:rsidRPr="00B431E1">
        <w:rPr>
          <w:bCs/>
        </w:rPr>
        <w:t>z możliwością odcięcia światła od okularów</w:t>
      </w:r>
      <w:r>
        <w:rPr>
          <w:bCs/>
        </w:rPr>
        <w:t>,</w:t>
      </w:r>
      <w:r w:rsidRPr="00B431E1">
        <w:t xml:space="preserve"> pole widzenia mikroskopu min. FN=23</w:t>
      </w:r>
      <w:r>
        <w:t xml:space="preserve">, </w:t>
      </w:r>
      <w:r w:rsidRPr="00B431E1">
        <w:t>dwa okulary o polu widzenia min. FN=23, oba z korekcją dioptrii</w:t>
      </w:r>
    </w:p>
    <w:p w14:paraId="6756C40B" w14:textId="06ABD050" w:rsidR="000F6AEA" w:rsidRDefault="000F6AEA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 xml:space="preserve">stolik skaningowy z możliwością automatycznego przesuwu w osiach </w:t>
      </w:r>
      <w:proofErr w:type="spellStart"/>
      <w:r w:rsidRPr="00B431E1">
        <w:t>x,y</w:t>
      </w:r>
      <w:proofErr w:type="spellEnd"/>
      <w:r w:rsidRPr="00B431E1">
        <w:t xml:space="preserve">, </w:t>
      </w:r>
      <w:r w:rsidRPr="00B431E1">
        <w:br/>
        <w:t>z uchwyte</w:t>
      </w:r>
      <w:r>
        <w:t xml:space="preserve">m szkiełek oraz komór hodowlanych typu </w:t>
      </w:r>
      <w:proofErr w:type="spellStart"/>
      <w:r>
        <w:t>LabTek</w:t>
      </w:r>
      <w:proofErr w:type="spellEnd"/>
      <w:r>
        <w:t xml:space="preserve"> </w:t>
      </w:r>
      <w:r w:rsidRPr="00B431E1">
        <w:t xml:space="preserve">(przesuw za pomocą </w:t>
      </w:r>
      <w:r>
        <w:t>joysticka oraz</w:t>
      </w:r>
      <w:r w:rsidRPr="00B431E1">
        <w:t xml:space="preserve"> oprogramowania)</w:t>
      </w:r>
    </w:p>
    <w:p w14:paraId="1181ABE1" w14:textId="77777777" w:rsidR="002B688F" w:rsidRDefault="002B688F" w:rsidP="002B688F">
      <w:pPr>
        <w:pStyle w:val="Akapitzlist"/>
        <w:numPr>
          <w:ilvl w:val="1"/>
          <w:numId w:val="25"/>
        </w:numPr>
        <w:spacing w:line="278" w:lineRule="auto"/>
        <w:jc w:val="both"/>
      </w:pPr>
      <w:r>
        <w:t>stolik 130x100 z silnikiem krokowym z uniwersalną ramką montażową (160 mm x 110 mm) odpowiednią również do Z-piezo z zakresem przesuwu 130 mm x 100 mm (regulowany)</w:t>
      </w:r>
    </w:p>
    <w:p w14:paraId="36AB9EF8" w14:textId="2164D7D7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>prędkość maks.: 25 mm/s</w:t>
      </w:r>
    </w:p>
    <w:p w14:paraId="70FE6DD4" w14:textId="3B0FFEDA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rozdzielczość: 0,1 </w:t>
      </w:r>
      <w:proofErr w:type="spellStart"/>
      <w:r>
        <w:t>μm</w:t>
      </w:r>
      <w:proofErr w:type="spellEnd"/>
    </w:p>
    <w:p w14:paraId="6BC840C5" w14:textId="6A08855B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powtarzalność: +/- 1 </w:t>
      </w:r>
      <w:proofErr w:type="spellStart"/>
      <w:r>
        <w:t>μm</w:t>
      </w:r>
      <w:proofErr w:type="spellEnd"/>
    </w:p>
    <w:p w14:paraId="7C69AEFD" w14:textId="2C7E8F88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dokładność absolutna: +/- 5 </w:t>
      </w:r>
      <w:proofErr w:type="spellStart"/>
      <w:r>
        <w:t>μm</w:t>
      </w:r>
      <w:proofErr w:type="spellEnd"/>
    </w:p>
    <w:p w14:paraId="7D6B0FA0" w14:textId="7429C093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>powierzchnia stolika: 325 mm x 144 mm</w:t>
      </w:r>
    </w:p>
    <w:p w14:paraId="0C8931C9" w14:textId="6F69EE55" w:rsidR="002B688F" w:rsidRDefault="002B688F" w:rsidP="002B688F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kompatybilny z obiektywami </w:t>
      </w:r>
      <w:proofErr w:type="spellStart"/>
      <w:r>
        <w:t>autocorr</w:t>
      </w:r>
      <w:proofErr w:type="spellEnd"/>
    </w:p>
    <w:p w14:paraId="03824A90" w14:textId="7C684935" w:rsidR="002B688F" w:rsidRDefault="007F098C" w:rsidP="002B688F">
      <w:pPr>
        <w:pStyle w:val="Akapitzlist"/>
        <w:numPr>
          <w:ilvl w:val="1"/>
          <w:numId w:val="25"/>
        </w:numPr>
        <w:spacing w:line="278" w:lineRule="auto"/>
        <w:jc w:val="both"/>
      </w:pPr>
      <w:r w:rsidRPr="007F098C">
        <w:t xml:space="preserve">zmotoryzowany rewolwer obiektywowy na min. 6 obiektywów, przystosowany do pracy w kontraście </w:t>
      </w:r>
      <w:proofErr w:type="spellStart"/>
      <w:r w:rsidRPr="007F098C">
        <w:t>Nomarskiego</w:t>
      </w:r>
      <w:proofErr w:type="spellEnd"/>
      <w:r w:rsidRPr="007F098C">
        <w:t xml:space="preserve"> (DIC)</w:t>
      </w:r>
    </w:p>
    <w:p w14:paraId="077B3008" w14:textId="4A98F751" w:rsidR="00340410" w:rsidRDefault="00340410" w:rsidP="00340410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obiektywy korygowane na nieskończoność o standardowej długości optycznej 45mm: </w:t>
      </w:r>
      <w:proofErr w:type="spellStart"/>
      <w:r>
        <w:t>planapochromatyczne</w:t>
      </w:r>
      <w:proofErr w:type="spellEnd"/>
      <w:r>
        <w:t xml:space="preserve"> (powiększenie / min. apretura numeryczna / min. odległość robocza)</w:t>
      </w:r>
    </w:p>
    <w:p w14:paraId="1BEE4B12" w14:textId="77777777" w:rsidR="00340410" w:rsidRDefault="00340410" w:rsidP="00340410">
      <w:pPr>
        <w:pStyle w:val="Akapitzlist"/>
        <w:numPr>
          <w:ilvl w:val="2"/>
          <w:numId w:val="25"/>
        </w:numPr>
        <w:spacing w:line="278" w:lineRule="auto"/>
        <w:jc w:val="both"/>
      </w:pPr>
      <w:r>
        <w:t>5x NA 0.16 FWD 12,1 mm</w:t>
      </w:r>
    </w:p>
    <w:p w14:paraId="1FC2B2CE" w14:textId="77777777" w:rsidR="00340410" w:rsidRDefault="00340410" w:rsidP="00340410">
      <w:pPr>
        <w:pStyle w:val="Akapitzlist"/>
        <w:numPr>
          <w:ilvl w:val="2"/>
          <w:numId w:val="25"/>
        </w:numPr>
        <w:spacing w:line="278" w:lineRule="auto"/>
        <w:jc w:val="both"/>
      </w:pPr>
      <w:r>
        <w:t>10x NA 0.45 FWD 2,1 mm</w:t>
      </w:r>
    </w:p>
    <w:p w14:paraId="0B524455" w14:textId="77777777" w:rsidR="00340410" w:rsidRDefault="00340410" w:rsidP="00340410">
      <w:pPr>
        <w:pStyle w:val="Akapitzlist"/>
        <w:numPr>
          <w:ilvl w:val="2"/>
          <w:numId w:val="25"/>
        </w:numPr>
        <w:spacing w:line="278" w:lineRule="auto"/>
        <w:jc w:val="both"/>
      </w:pPr>
      <w:r>
        <w:t>20x NA 0.8 FWD 0,55 mm</w:t>
      </w:r>
    </w:p>
    <w:p w14:paraId="6E142CE5" w14:textId="77777777" w:rsidR="00340410" w:rsidRDefault="00340410" w:rsidP="0034041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40x NA 1.2 </w:t>
      </w:r>
      <w:proofErr w:type="spellStart"/>
      <w:r>
        <w:t>Corr</w:t>
      </w:r>
      <w:proofErr w:type="spellEnd"/>
      <w:r>
        <w:t xml:space="preserve"> FWD 0,15-0,19 mm, woda, olej silikonowy lub gliceryna, współczynnik </w:t>
      </w:r>
      <w:proofErr w:type="spellStart"/>
      <w:r>
        <w:t>Strehla</w:t>
      </w:r>
      <w:proofErr w:type="spellEnd"/>
      <w:r>
        <w:t xml:space="preserve"> &gt;90%</w:t>
      </w:r>
    </w:p>
    <w:p w14:paraId="7C9D9A79" w14:textId="170B39FD" w:rsidR="00340410" w:rsidRDefault="00340410" w:rsidP="00340410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63x NA 1.2 </w:t>
      </w:r>
      <w:proofErr w:type="spellStart"/>
      <w:r>
        <w:t>Corr</w:t>
      </w:r>
      <w:proofErr w:type="spellEnd"/>
      <w:r>
        <w:t xml:space="preserve"> FWD 0,15-0,19 mm, do mediów immersyjnych o współczynniku załamania światła 1,43 lub wyższym w immersji w glicerynie lub oleju, współczynnik </w:t>
      </w:r>
      <w:proofErr w:type="spellStart"/>
      <w:r>
        <w:t>Strehla</w:t>
      </w:r>
      <w:proofErr w:type="spellEnd"/>
      <w:r>
        <w:t xml:space="preserve"> &gt;90%</w:t>
      </w:r>
    </w:p>
    <w:p w14:paraId="1EA31D79" w14:textId="72AE60E7" w:rsidR="00FA04AE" w:rsidRDefault="00FA04AE" w:rsidP="00FA04AE">
      <w:pPr>
        <w:pStyle w:val="Akapitzlist"/>
        <w:numPr>
          <w:ilvl w:val="1"/>
          <w:numId w:val="25"/>
        </w:numPr>
        <w:spacing w:line="278" w:lineRule="auto"/>
        <w:jc w:val="both"/>
      </w:pPr>
      <w:r>
        <w:t>m</w:t>
      </w:r>
      <w:r w:rsidRPr="00291AEC">
        <w:t xml:space="preserve">oduł pozwalający na prowadzenie szybkich </w:t>
      </w:r>
      <w:r>
        <w:t>rejestracji</w:t>
      </w:r>
      <w:r w:rsidRPr="00291AEC">
        <w:t xml:space="preserve"> z wykorzystaniem sygnału fluorescencji z prędkością co najmniej 80 objętości na sekundę, dla obiektu o wymiarach co </w:t>
      </w:r>
      <w:r w:rsidRPr="00291AEC">
        <w:lastRenderedPageBreak/>
        <w:t>najmniej 360 x 360 x 100 mikrometrów, z rozdzielczością  przestrzenną co najmniej 2.2 mikrometra w osi X, Y oraz rozdzielczością co najmniej 2.8 mikrometra w osi Z</w:t>
      </w:r>
    </w:p>
    <w:p w14:paraId="79410BA6" w14:textId="4F68EA85" w:rsidR="001E56A7" w:rsidRPr="002033C0" w:rsidRDefault="001E56A7" w:rsidP="00FA04AE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rPr>
          <w:color w:val="000000"/>
        </w:rPr>
        <w:t xml:space="preserve">kondensor obrotowy umożliwiający zastosowanie </w:t>
      </w:r>
      <w:r>
        <w:rPr>
          <w:color w:val="000000"/>
        </w:rPr>
        <w:t>technik jasnego, ciemnego pola,</w:t>
      </w:r>
      <w:r w:rsidRPr="00B431E1">
        <w:rPr>
          <w:color w:val="000000"/>
        </w:rPr>
        <w:t xml:space="preserve"> kontrastu fazowego oraz </w:t>
      </w:r>
      <w:r>
        <w:rPr>
          <w:color w:val="000000"/>
        </w:rPr>
        <w:t xml:space="preserve">elementy do kontrastu </w:t>
      </w:r>
      <w:proofErr w:type="spellStart"/>
      <w:r w:rsidRPr="00B431E1">
        <w:rPr>
          <w:bCs/>
          <w:iCs/>
        </w:rPr>
        <w:t>Nomarskiego</w:t>
      </w:r>
      <w:proofErr w:type="spellEnd"/>
      <w:r w:rsidRPr="00B431E1">
        <w:rPr>
          <w:bCs/>
          <w:iCs/>
        </w:rPr>
        <w:t xml:space="preserve"> (DIC)</w:t>
      </w:r>
      <w:r>
        <w:rPr>
          <w:bCs/>
          <w:iCs/>
        </w:rPr>
        <w:t xml:space="preserve"> dla obiektywów 4.0x-100x</w:t>
      </w:r>
      <w:r w:rsidRPr="00B431E1">
        <w:rPr>
          <w:bCs/>
          <w:iCs/>
        </w:rPr>
        <w:t xml:space="preserve">, z aperturą 0,55 i odległością roboczą min. </w:t>
      </w:r>
      <w:r w:rsidRPr="00B431E1">
        <w:rPr>
          <w:color w:val="000000"/>
        </w:rPr>
        <w:t>26mm</w:t>
      </w:r>
    </w:p>
    <w:p w14:paraId="08B7ABD6" w14:textId="77777777" w:rsidR="00F6478B" w:rsidRPr="00F6478B" w:rsidRDefault="002033C0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 w:rsidRPr="00F6478B">
        <w:rPr>
          <w:bCs/>
          <w:iCs/>
        </w:rPr>
        <w:t>zmotoryzowany rewolwer na min. 6 filtrów fluorescencyjnych</w:t>
      </w:r>
    </w:p>
    <w:p w14:paraId="138DB4C1" w14:textId="274477E1" w:rsidR="00F6478B" w:rsidRDefault="00BD7281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 w:rsidRPr="00F6478B">
        <w:rPr>
          <w:bCs/>
          <w:iCs/>
        </w:rPr>
        <w:t>potrójny zestaw f</w:t>
      </w:r>
      <w:r w:rsidRPr="00B431E1">
        <w:t>iltr</w:t>
      </w:r>
      <w:r>
        <w:t>ów fluorescencyjnych</w:t>
      </w:r>
      <w:r w:rsidRPr="00F6478B">
        <w:rPr>
          <w:bCs/>
          <w:iCs/>
        </w:rPr>
        <w:t xml:space="preserve"> </w:t>
      </w:r>
      <w:r>
        <w:t xml:space="preserve">umożliwiający </w:t>
      </w:r>
      <w:r w:rsidRPr="00B431E1">
        <w:t xml:space="preserve">obserwację </w:t>
      </w:r>
      <w:r>
        <w:t xml:space="preserve">przez okulary </w:t>
      </w:r>
      <w:r w:rsidRPr="00B431E1">
        <w:t xml:space="preserve">takich </w:t>
      </w:r>
      <w:proofErr w:type="spellStart"/>
      <w:r w:rsidRPr="00B431E1">
        <w:t>fluorochromów</w:t>
      </w:r>
      <w:proofErr w:type="spellEnd"/>
      <w:r w:rsidRPr="00B431E1">
        <w:t xml:space="preserve"> jak</w:t>
      </w:r>
      <w:r>
        <w:t xml:space="preserve">: CFP, YFP, </w:t>
      </w:r>
      <w:proofErr w:type="spellStart"/>
      <w:r>
        <w:t>mCherry</w:t>
      </w:r>
      <w:proofErr w:type="spellEnd"/>
      <w:r>
        <w:t>.</w:t>
      </w:r>
    </w:p>
    <w:p w14:paraId="2264630D" w14:textId="566C4B33" w:rsidR="00BD7281" w:rsidRDefault="00BD7281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>
        <w:t>poczwórny zestaw filtrów fluorescencyjnych</w:t>
      </w:r>
      <w:r w:rsidRPr="00F6478B">
        <w:rPr>
          <w:bCs/>
          <w:iCs/>
        </w:rPr>
        <w:t xml:space="preserve"> </w:t>
      </w:r>
      <w:r>
        <w:t xml:space="preserve">umożliwiający </w:t>
      </w:r>
      <w:r w:rsidRPr="00B431E1">
        <w:t xml:space="preserve">obserwację </w:t>
      </w:r>
      <w:r>
        <w:t xml:space="preserve">przez okulary </w:t>
      </w:r>
      <w:r w:rsidRPr="00B431E1">
        <w:t xml:space="preserve">takich </w:t>
      </w:r>
      <w:proofErr w:type="spellStart"/>
      <w:r w:rsidRPr="00B431E1">
        <w:t>fluorochromów</w:t>
      </w:r>
      <w:proofErr w:type="spellEnd"/>
      <w:r w:rsidRPr="00B431E1">
        <w:t xml:space="preserve"> jak</w:t>
      </w:r>
      <w:r>
        <w:t>: DAPI, FITC, TRITC, Cy5</w:t>
      </w:r>
    </w:p>
    <w:p w14:paraId="70AA70D0" w14:textId="77777777" w:rsidR="00F6478B" w:rsidRDefault="00F6478B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>
        <w:t>oświetlacz fluorescencyjny z minimum sześcioma różnymi diodami LED dla 7 różnych kanałów wzbudzenia</w:t>
      </w:r>
    </w:p>
    <w:p w14:paraId="55B6DACA" w14:textId="20CB2521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Far Red (735 </w:t>
      </w:r>
      <w:proofErr w:type="spellStart"/>
      <w:r>
        <w:t>nm</w:t>
      </w:r>
      <w:proofErr w:type="spellEnd"/>
      <w:r>
        <w:t xml:space="preserve">) do wzbudzenia Cy7 i podobnych barwników. </w:t>
      </w:r>
    </w:p>
    <w:p w14:paraId="62F461B4" w14:textId="64499FBA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Red (631 </w:t>
      </w:r>
      <w:proofErr w:type="spellStart"/>
      <w:r>
        <w:t>nm</w:t>
      </w:r>
      <w:proofErr w:type="spellEnd"/>
      <w:r>
        <w:t xml:space="preserve">) do wzbudzenia Cy5, </w:t>
      </w:r>
      <w:proofErr w:type="spellStart"/>
      <w:r>
        <w:t>Alexa</w:t>
      </w:r>
      <w:proofErr w:type="spellEnd"/>
      <w:r>
        <w:t xml:space="preserve"> 631, TOTO-3 i podobnych barwników. </w:t>
      </w:r>
    </w:p>
    <w:p w14:paraId="54552CED" w14:textId="41882C09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proofErr w:type="spellStart"/>
      <w:r>
        <w:t>Yellow</w:t>
      </w:r>
      <w:proofErr w:type="spellEnd"/>
      <w:r>
        <w:t xml:space="preserve"> (591 </w:t>
      </w:r>
      <w:proofErr w:type="spellStart"/>
      <w:r>
        <w:t>nm</w:t>
      </w:r>
      <w:proofErr w:type="spellEnd"/>
      <w:r>
        <w:t xml:space="preserve">) do wzbudzenia </w:t>
      </w:r>
      <w:proofErr w:type="spellStart"/>
      <w:r>
        <w:t>mCherry</w:t>
      </w:r>
      <w:proofErr w:type="spellEnd"/>
      <w:r>
        <w:t xml:space="preserve">, </w:t>
      </w:r>
      <w:proofErr w:type="spellStart"/>
      <w:r>
        <w:t>Alexa</w:t>
      </w:r>
      <w:proofErr w:type="spellEnd"/>
      <w:r>
        <w:t xml:space="preserve"> 568, </w:t>
      </w:r>
      <w:proofErr w:type="spellStart"/>
      <w:r>
        <w:t>mPlum</w:t>
      </w:r>
      <w:proofErr w:type="spellEnd"/>
      <w:r>
        <w:t xml:space="preserve"> i podobnych barwników. </w:t>
      </w:r>
    </w:p>
    <w:p w14:paraId="62A96792" w14:textId="5AF8996E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Green (555 </w:t>
      </w:r>
      <w:proofErr w:type="spellStart"/>
      <w:r>
        <w:t>nm</w:t>
      </w:r>
      <w:proofErr w:type="spellEnd"/>
      <w:r>
        <w:t xml:space="preserve">) do wzbudzenia Cy3, TRITC, </w:t>
      </w:r>
      <w:proofErr w:type="spellStart"/>
      <w:r>
        <w:t>DsRed</w:t>
      </w:r>
      <w:proofErr w:type="spellEnd"/>
      <w:r>
        <w:t xml:space="preserve"> i podobnych barwników. </w:t>
      </w:r>
    </w:p>
    <w:p w14:paraId="76B09647" w14:textId="77777777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Blue (469 </w:t>
      </w:r>
      <w:proofErr w:type="spellStart"/>
      <w:r>
        <w:t>nm</w:t>
      </w:r>
      <w:proofErr w:type="spellEnd"/>
      <w:r>
        <w:t xml:space="preserve">) do wzbudzenia </w:t>
      </w:r>
      <w:proofErr w:type="spellStart"/>
      <w:r>
        <w:t>eGFP</w:t>
      </w:r>
      <w:proofErr w:type="spellEnd"/>
      <w:r>
        <w:t xml:space="preserve">, Fluo4, FITC i podobnych barwników. </w:t>
      </w:r>
    </w:p>
    <w:p w14:paraId="17F74653" w14:textId="6E3C86EF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Violet (423 </w:t>
      </w:r>
      <w:proofErr w:type="spellStart"/>
      <w:r>
        <w:t>nm</w:t>
      </w:r>
      <w:proofErr w:type="spellEnd"/>
      <w:r>
        <w:t xml:space="preserve">) do wzbudzenia </w:t>
      </w:r>
      <w:proofErr w:type="spellStart"/>
      <w:r>
        <w:t>eCFP</w:t>
      </w:r>
      <w:proofErr w:type="spellEnd"/>
      <w:r>
        <w:t xml:space="preserve">, </w:t>
      </w:r>
      <w:proofErr w:type="spellStart"/>
      <w:r>
        <w:t>Lucifer</w:t>
      </w:r>
      <w:proofErr w:type="spellEnd"/>
      <w:r>
        <w:t xml:space="preserve"> </w:t>
      </w:r>
      <w:proofErr w:type="spellStart"/>
      <w:r>
        <w:t>Yellow</w:t>
      </w:r>
      <w:proofErr w:type="spellEnd"/>
      <w:r>
        <w:t xml:space="preserve">, </w:t>
      </w:r>
      <w:proofErr w:type="spellStart"/>
      <w:r>
        <w:t>Alexa</w:t>
      </w:r>
      <w:proofErr w:type="spellEnd"/>
      <w:r>
        <w:t xml:space="preserve"> 430 i podobnych barwników. </w:t>
      </w:r>
    </w:p>
    <w:p w14:paraId="499D9036" w14:textId="1FC5DCF8" w:rsidR="00F6478B" w:rsidRDefault="00F6478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(385 </w:t>
      </w:r>
      <w:proofErr w:type="spellStart"/>
      <w:r>
        <w:t>nm</w:t>
      </w:r>
      <w:proofErr w:type="spellEnd"/>
      <w:r>
        <w:t xml:space="preserve">) do wzbudzenia DAPI, </w:t>
      </w:r>
      <w:proofErr w:type="spellStart"/>
      <w:r>
        <w:t>Alexa</w:t>
      </w:r>
      <w:proofErr w:type="spellEnd"/>
      <w:r>
        <w:t xml:space="preserve"> 405, </w:t>
      </w:r>
      <w:proofErr w:type="spellStart"/>
      <w:r>
        <w:t>Hoechst</w:t>
      </w:r>
      <w:proofErr w:type="spellEnd"/>
      <w:r>
        <w:t xml:space="preserve"> 33258 i podobnych barwników</w:t>
      </w:r>
    </w:p>
    <w:p w14:paraId="78B1FE02" w14:textId="5F6A988C" w:rsidR="00120FA9" w:rsidRDefault="00120FA9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>lampa halogenowa z możliwością centrowania, o mocy 100W - montowana bezpośrednio na statywie mikroskopu</w:t>
      </w:r>
      <w:r>
        <w:t xml:space="preserve">, </w:t>
      </w:r>
      <w:r w:rsidRPr="00B431E1">
        <w:t>regulacja natężenia lampy halogenowej ze wskazaniem nastawionej wartości</w:t>
      </w:r>
    </w:p>
    <w:p w14:paraId="250A3498" w14:textId="13905F99" w:rsidR="005B7931" w:rsidRDefault="005B7931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>umieszczony poza statywem (dla eliminacji przepięć i zakłóceń elektrycznych) zewnętrzny zasilacz sieciowy</w:t>
      </w:r>
      <w:r>
        <w:t xml:space="preserve"> mikroskopu</w:t>
      </w:r>
    </w:p>
    <w:p w14:paraId="15AD0AD1" w14:textId="2A84A801" w:rsidR="00354C08" w:rsidRDefault="00354C08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9F523D">
        <w:t>wbudowane w statyw porty komunikacyjne: min. 4x CAN, USB-A, USB-C and TCP/IP</w:t>
      </w:r>
    </w:p>
    <w:p w14:paraId="26FAF804" w14:textId="05096BC0" w:rsidR="0049789D" w:rsidRDefault="0049789D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>zmotoryzowana przesłona lampy fluorescencyjnej (automatyczne zamykanie i otwieranie przesłony oświetlenia fluorescencyjnego)</w:t>
      </w:r>
    </w:p>
    <w:p w14:paraId="2807B7C0" w14:textId="4B20F6D9" w:rsidR="00F4293B" w:rsidRDefault="00F4293B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>współosiowa śruba z pokrętłami mikro/</w:t>
      </w:r>
      <w:proofErr w:type="spellStart"/>
      <w:r w:rsidRPr="00B431E1">
        <w:t>makrometrycznymi</w:t>
      </w:r>
      <w:proofErr w:type="spellEnd"/>
      <w:r w:rsidRPr="00B431E1">
        <w:t xml:space="preserve"> położonymi z obu stron statywu</w:t>
      </w:r>
    </w:p>
    <w:p w14:paraId="6649AECE" w14:textId="33C40B13" w:rsidR="0036734E" w:rsidRDefault="0036734E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B431E1">
        <w:t>umieszczone na statywie mikroskopu klawisze funkcyjne</w:t>
      </w:r>
      <w:r w:rsidRPr="00B431E1">
        <w:rPr>
          <w:b/>
        </w:rPr>
        <w:t xml:space="preserve"> </w:t>
      </w:r>
      <w:r w:rsidRPr="00242903">
        <w:t>z możliwością dowolnego przypisania przez użytkownika odpowiadających im funkcji automatycznych mikroskopu (zmiana obiektywów, filtrów itp.)</w:t>
      </w:r>
    </w:p>
    <w:p w14:paraId="149901EA" w14:textId="4CEB2F1F" w:rsidR="00E643B6" w:rsidRDefault="00E643B6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 w:rsidRPr="00F6661F">
        <w:t xml:space="preserve">sterowanie automatycznymi funkcjami </w:t>
      </w:r>
      <w:r>
        <w:t xml:space="preserve">mikroskopu dodatkowo poprzez </w:t>
      </w:r>
      <w:r w:rsidRPr="00F6661F">
        <w:t xml:space="preserve">dotykowy panel LCD umożliwiający </w:t>
      </w:r>
      <w:r>
        <w:t>podgląd</w:t>
      </w:r>
      <w:r w:rsidRPr="00F6661F">
        <w:t xml:space="preserve"> ustawionych wartości</w:t>
      </w:r>
    </w:p>
    <w:p w14:paraId="7AF0A782" w14:textId="7D57175D" w:rsidR="002C7A80" w:rsidRDefault="002C7A80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>
        <w:t>niezależny od mikroskopu panel kontrolny z dodatkową śrubą miko/</w:t>
      </w:r>
      <w:proofErr w:type="spellStart"/>
      <w:r>
        <w:t>makrometryczną</w:t>
      </w:r>
      <w:proofErr w:type="spellEnd"/>
    </w:p>
    <w:p w14:paraId="03A6148F" w14:textId="156F63DB" w:rsidR="00496BF0" w:rsidRDefault="00496BF0" w:rsidP="00120FA9">
      <w:pPr>
        <w:pStyle w:val="Akapitzlist"/>
        <w:numPr>
          <w:ilvl w:val="1"/>
          <w:numId w:val="25"/>
        </w:numPr>
        <w:spacing w:line="278" w:lineRule="auto"/>
        <w:jc w:val="both"/>
      </w:pPr>
      <w:r>
        <w:t>Statyw umożliwiający adaptację do FLIM</w:t>
      </w:r>
    </w:p>
    <w:p w14:paraId="73632FCD" w14:textId="0DA3A54F" w:rsidR="00496BF0" w:rsidRDefault="00496BF0" w:rsidP="00496BF0">
      <w:pPr>
        <w:pStyle w:val="Akapitzlist"/>
        <w:numPr>
          <w:ilvl w:val="0"/>
          <w:numId w:val="25"/>
        </w:numPr>
        <w:spacing w:line="278" w:lineRule="auto"/>
        <w:jc w:val="both"/>
      </w:pPr>
      <w:r>
        <w:t>Wyposażenie do rejestracji konfokalnych</w:t>
      </w:r>
    </w:p>
    <w:p w14:paraId="623B338E" w14:textId="4898F100" w:rsidR="001842AD" w:rsidRDefault="001842AD" w:rsidP="001842AD">
      <w:pPr>
        <w:pStyle w:val="Akapitzlist"/>
        <w:numPr>
          <w:ilvl w:val="1"/>
          <w:numId w:val="25"/>
        </w:numPr>
        <w:spacing w:line="278" w:lineRule="auto"/>
        <w:jc w:val="both"/>
      </w:pPr>
      <w:r w:rsidRPr="001842AD">
        <w:t xml:space="preserve">głowica konfokalna z o wysokiej transmisji w zakresie min. 360–1100 </w:t>
      </w:r>
      <w:proofErr w:type="spellStart"/>
      <w:r w:rsidRPr="001842AD">
        <w:t>nm</w:t>
      </w:r>
      <w:proofErr w:type="spellEnd"/>
      <w:r w:rsidRPr="001842AD">
        <w:t>, z możliwością doprowadzenia i sterowania min. 8 linii laserów</w:t>
      </w:r>
    </w:p>
    <w:p w14:paraId="095F9AA4" w14:textId="174C250F" w:rsidR="0006277D" w:rsidRDefault="0006277D" w:rsidP="001842AD">
      <w:pPr>
        <w:pStyle w:val="Akapitzlist"/>
        <w:numPr>
          <w:ilvl w:val="1"/>
          <w:numId w:val="25"/>
        </w:numPr>
        <w:spacing w:line="278" w:lineRule="auto"/>
        <w:jc w:val="both"/>
      </w:pPr>
      <w:r w:rsidRPr="0006277D">
        <w:t xml:space="preserve">zestaw laserów oraz sterowanie zapewniające niezależną pracę ze wszystkimi dostępnymi </w:t>
      </w:r>
      <w:proofErr w:type="spellStart"/>
      <w:r w:rsidRPr="0006277D">
        <w:t>wzbudzeniami</w:t>
      </w:r>
      <w:proofErr w:type="spellEnd"/>
      <w:r w:rsidRPr="0006277D">
        <w:t>:</w:t>
      </w:r>
    </w:p>
    <w:p w14:paraId="0EEA38D6" w14:textId="0EBD2460" w:rsidR="003249BE" w:rsidRDefault="003249BE" w:rsidP="003249BE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moduł zasilania, elektroniki i lasera (488,561,639nm)(D) zawiera centralny zasilacz, elektronikę sterującą, laser diodowy 488 </w:t>
      </w:r>
      <w:proofErr w:type="spellStart"/>
      <w:r>
        <w:t>nm</w:t>
      </w:r>
      <w:proofErr w:type="spellEnd"/>
      <w:r>
        <w:t xml:space="preserve"> o mocy 10 </w:t>
      </w:r>
      <w:proofErr w:type="spellStart"/>
      <w:r>
        <w:t>mW</w:t>
      </w:r>
      <w:proofErr w:type="spellEnd"/>
      <w:r>
        <w:t xml:space="preserve">, laser DPSS 561 </w:t>
      </w:r>
      <w:proofErr w:type="spellStart"/>
      <w:r>
        <w:t>nm</w:t>
      </w:r>
      <w:proofErr w:type="spellEnd"/>
      <w:r>
        <w:t xml:space="preserve"> o mocy 10 </w:t>
      </w:r>
      <w:proofErr w:type="spellStart"/>
      <w:r>
        <w:t>mW</w:t>
      </w:r>
      <w:proofErr w:type="spellEnd"/>
      <w:r>
        <w:t xml:space="preserve"> oraz laser diodowy 639 </w:t>
      </w:r>
      <w:proofErr w:type="spellStart"/>
      <w:r>
        <w:t>nm</w:t>
      </w:r>
      <w:proofErr w:type="spellEnd"/>
      <w:r>
        <w:t xml:space="preserve"> </w:t>
      </w:r>
      <w:r w:rsidR="00E24B75">
        <w:t xml:space="preserve">o mocy </w:t>
      </w:r>
      <w:r>
        <w:t xml:space="preserve">7,5 </w:t>
      </w:r>
      <w:proofErr w:type="spellStart"/>
      <w:r>
        <w:t>mW</w:t>
      </w:r>
      <w:proofErr w:type="spellEnd"/>
      <w:r>
        <w:t>.</w:t>
      </w:r>
    </w:p>
    <w:p w14:paraId="69E02511" w14:textId="674180F3" w:rsidR="00F2094E" w:rsidRDefault="0007281D" w:rsidP="0007281D">
      <w:pPr>
        <w:pStyle w:val="Akapitzlist"/>
        <w:numPr>
          <w:ilvl w:val="2"/>
          <w:numId w:val="25"/>
        </w:numPr>
        <w:spacing w:line="278" w:lineRule="auto"/>
        <w:jc w:val="both"/>
      </w:pPr>
      <w:r>
        <w:lastRenderedPageBreak/>
        <w:t xml:space="preserve">laser diodowy 405 </w:t>
      </w:r>
      <w:proofErr w:type="spellStart"/>
      <w:r>
        <w:t>nm</w:t>
      </w:r>
      <w:proofErr w:type="spellEnd"/>
    </w:p>
    <w:p w14:paraId="3B2D36DD" w14:textId="0910EAE7" w:rsidR="0007281D" w:rsidRDefault="00EE769F" w:rsidP="0007281D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układ niezależnego, płynne</w:t>
      </w:r>
      <w:r>
        <w:t xml:space="preserve">go sterowania mocą wszystkich </w:t>
      </w:r>
      <w:r w:rsidRPr="00B43BF2">
        <w:t>linii laserów w zakresie 0-100% oraz ich wygaszania i selekcji linii</w:t>
      </w:r>
    </w:p>
    <w:p w14:paraId="19BC9B7F" w14:textId="73A6250F" w:rsidR="000D2895" w:rsidRDefault="000D2895" w:rsidP="0007281D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zmotoryzowana w osiach </w:t>
      </w:r>
      <w:proofErr w:type="spellStart"/>
      <w:r w:rsidRPr="00B43BF2">
        <w:t>x,y</w:t>
      </w:r>
      <w:proofErr w:type="spellEnd"/>
      <w:r w:rsidRPr="00B43BF2">
        <w:t>, o płynnie regulowanej wielkości przysłona konfokalna</w:t>
      </w:r>
      <w:r>
        <w:t>,</w:t>
      </w:r>
      <w:r w:rsidRPr="00B43BF2">
        <w:t xml:space="preserve"> programowa procedura automatycznego ustawiania optymalnej pozycji przesłony konfokalnej</w:t>
      </w:r>
    </w:p>
    <w:p w14:paraId="35C196CA" w14:textId="5EC2944E" w:rsidR="00AD08AD" w:rsidRDefault="00AD08AD" w:rsidP="0007281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układ detekcji z min. 32 detektorami: min. 30-to elementowy detektor typu </w:t>
      </w:r>
      <w:proofErr w:type="spellStart"/>
      <w:r>
        <w:t>GaAsP</w:t>
      </w:r>
      <w:proofErr w:type="spellEnd"/>
      <w:r>
        <w:t xml:space="preserve">, dwa detektory typu PMT, możliwość </w:t>
      </w:r>
      <w:r w:rsidRPr="00B43BF2">
        <w:t>jednoczesnej rejestracji wzbudzonej fluorescencji</w:t>
      </w:r>
      <w:r>
        <w:t xml:space="preserve"> we wszystkich kanałach oraz rejestracji spektralnej z wykorzystaniem wszystkich detektorów w zakresie min. 400-750nm</w:t>
      </w:r>
    </w:p>
    <w:p w14:paraId="2BB5C194" w14:textId="77777777" w:rsidR="001B1E99" w:rsidRDefault="001B1E99" w:rsidP="001B1E99">
      <w:pPr>
        <w:pStyle w:val="Akapitzlist"/>
        <w:numPr>
          <w:ilvl w:val="1"/>
          <w:numId w:val="25"/>
        </w:numPr>
        <w:spacing w:line="278" w:lineRule="auto"/>
        <w:jc w:val="both"/>
      </w:pPr>
      <w:r>
        <w:t>dodatkowy układ detekcji o rozdzielczości obrazowania min. 120nm w osiach X,Y oraz 350nm w osi Z</w:t>
      </w:r>
    </w:p>
    <w:p w14:paraId="76D00236" w14:textId="281A3A53" w:rsidR="001B1E99" w:rsidRDefault="001B1E99" w:rsidP="001B1E99">
      <w:pPr>
        <w:pStyle w:val="Akapitzlist"/>
        <w:numPr>
          <w:ilvl w:val="2"/>
          <w:numId w:val="25"/>
        </w:numPr>
        <w:spacing w:line="278" w:lineRule="auto"/>
        <w:jc w:val="both"/>
      </w:pPr>
      <w:r>
        <w:t xml:space="preserve">detekcja z wykorzystaniem min. 30 ultraczułych detektorów typu </w:t>
      </w:r>
      <w:proofErr w:type="spellStart"/>
      <w:r>
        <w:t>GaAsP</w:t>
      </w:r>
      <w:proofErr w:type="spellEnd"/>
      <w:r>
        <w:t>, umożliwiająca równoległą rejestrację sygnału z punku o średnicy maks. 0,25 AU oraz z jego otoczenia o średnicy min. 1 AU</w:t>
      </w:r>
    </w:p>
    <w:p w14:paraId="2573F99C" w14:textId="515D4B12" w:rsidR="001B1E99" w:rsidRDefault="001B1E99" w:rsidP="001B1E99">
      <w:pPr>
        <w:pStyle w:val="Akapitzlist"/>
        <w:numPr>
          <w:ilvl w:val="2"/>
          <w:numId w:val="25"/>
        </w:numPr>
        <w:spacing w:line="278" w:lineRule="auto"/>
        <w:jc w:val="both"/>
      </w:pPr>
      <w:r>
        <w:t>możliwość wykorzystania detektora do poprawy rozdzielczości obrazowania, poprawy stosunku sygnału do szumu, zwiększenia prędkości rejestracji.</w:t>
      </w:r>
    </w:p>
    <w:p w14:paraId="0B7C2BCE" w14:textId="35A92BB1" w:rsidR="00C10AE1" w:rsidRDefault="00C10AE1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>
        <w:t>wszystkie detektory oraz inne elementy układu detekcji fizycznie połączone ze skanerem – brak połączeń światłowodowych pomiędzy detektorami, a mikroskopem</w:t>
      </w:r>
    </w:p>
    <w:p w14:paraId="42C30E54" w14:textId="5009956A" w:rsidR="00E01826" w:rsidRDefault="00E01826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dodatkowy fotopowielacz (detektor) do światła przechodzącego, niezależny od detektorów do rejestracji fluorescencji</w:t>
      </w:r>
    </w:p>
    <w:p w14:paraId="02277785" w14:textId="3F20D693" w:rsidR="006E729F" w:rsidRDefault="006E729F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możliwość jednoczesnej rejestracji </w:t>
      </w:r>
      <w:r>
        <w:t>obrazów na różnych</w:t>
      </w:r>
      <w:r w:rsidRPr="00B43BF2">
        <w:t xml:space="preserve"> detektorach</w:t>
      </w:r>
    </w:p>
    <w:p w14:paraId="5E43B234" w14:textId="6E9D4DCC" w:rsidR="0022719E" w:rsidRDefault="0022719E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22719E">
        <w:t>układ skanujący o stałej, liniowej wartości przesuwu z 2 lustrami galwanometrycznymi oraz niezależnym układem chłodzenia, krótki czas powrotu skanera, min. 85% czasu skanowania wykorzystywane do akwizycji obrazu</w:t>
      </w:r>
    </w:p>
    <w:p w14:paraId="13BEF40C" w14:textId="1FA52962" w:rsidR="00645DD2" w:rsidRDefault="00645DD2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EE3017">
        <w:t>możliwość dowolnego obrotu układu skanującego o 360˚ z dokładnością 1˚</w:t>
      </w:r>
      <w:r>
        <w:t xml:space="preserve">, </w:t>
      </w:r>
      <w:r w:rsidRPr="007103CF">
        <w:t>dowolny obrót luster galwanometry</w:t>
      </w:r>
      <w:r>
        <w:t>c</w:t>
      </w:r>
      <w:r w:rsidRPr="007103CF">
        <w:t>znych bez przerywania procesu skanowania</w:t>
      </w:r>
    </w:p>
    <w:p w14:paraId="0B12BD5E" w14:textId="6797419D" w:rsidR="002634D1" w:rsidRDefault="002634D1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2634D1">
        <w:t>prędkość skanowania umożliwiająca rejestrację min. 13 ramek na sekundę przy obrazach o rozdzielczości 512x512 pikseli</w:t>
      </w:r>
    </w:p>
    <w:p w14:paraId="2B09B422" w14:textId="2E503406" w:rsidR="0049732B" w:rsidRDefault="0049732B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EE3017">
        <w:t>dodatkowa możliwość zwiększenia prędkości skanowania poprzez skanowanie krokowe, czyli co określoną wartość linii i interpolacji danych w liniach pominiętych</w:t>
      </w:r>
    </w:p>
    <w:p w14:paraId="45ECE0AF" w14:textId="2B746627" w:rsidR="006363A9" w:rsidRDefault="006363A9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układ skanujący z możliwością regulacji szybkości skanowania (min.</w:t>
      </w:r>
      <w:r>
        <w:t xml:space="preserve"> </w:t>
      </w:r>
      <w:r w:rsidRPr="00B43BF2">
        <w:t>1</w:t>
      </w:r>
      <w:r>
        <w:t>8</w:t>
      </w:r>
      <w:r w:rsidRPr="00B43BF2">
        <w:t xml:space="preserve"> różnych </w:t>
      </w:r>
      <w:r w:rsidRPr="009706A3">
        <w:t>nastaw</w:t>
      </w:r>
      <w:r>
        <w:t xml:space="preserve"> prędkości</w:t>
      </w:r>
      <w:r w:rsidRPr="00B43BF2">
        <w:t>)</w:t>
      </w:r>
    </w:p>
    <w:p w14:paraId="42BBFDC9" w14:textId="4103E9BA" w:rsidR="00711539" w:rsidRDefault="00711539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możliwość skanowania jedno- lub dwu- kierunkowego</w:t>
      </w:r>
    </w:p>
    <w:p w14:paraId="672B5D18" w14:textId="059F4F91" w:rsidR="00806458" w:rsidRDefault="00806458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rozdzielczość skanowa</w:t>
      </w:r>
      <w:r>
        <w:t>nia ustawiana w zakresie do min. 8190</w:t>
      </w:r>
      <w:r w:rsidRPr="00B43BF2">
        <w:t>x</w:t>
      </w:r>
      <w:r>
        <w:t>8190</w:t>
      </w:r>
      <w:r w:rsidRPr="00B43BF2">
        <w:t xml:space="preserve"> pikseli</w:t>
      </w:r>
    </w:p>
    <w:p w14:paraId="20BB0469" w14:textId="41A4E8CA" w:rsidR="00C239C9" w:rsidRDefault="00C239C9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rej</w:t>
      </w:r>
      <w:r>
        <w:t>estracja obrazów w trybie 8 i 16</w:t>
      </w:r>
      <w:r w:rsidRPr="00B43BF2">
        <w:t xml:space="preserve"> bitowym we wszystkich kanałach (także w kanale światła przechodzącego)</w:t>
      </w:r>
    </w:p>
    <w:p w14:paraId="5BA3033A" w14:textId="17BFA1D6" w:rsidR="00204268" w:rsidRDefault="00204268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zmiana powiększenia optycznego głowicy skanującej (zoom optyczny) regulowana płynnie w zakresie min. od 0,</w:t>
      </w:r>
      <w:r>
        <w:t>6x do 4</w:t>
      </w:r>
      <w:r w:rsidRPr="00B43BF2">
        <w:t>0x</w:t>
      </w:r>
    </w:p>
    <w:p w14:paraId="3BF3D63E" w14:textId="146EE7C3" w:rsidR="005916D3" w:rsidRDefault="005916D3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tryb skanowania równoległego oraz sekwencyjnego, umożliwiający rejestrację </w:t>
      </w:r>
      <w:r>
        <w:t>wielokanałową</w:t>
      </w:r>
      <w:r w:rsidRPr="00B43BF2">
        <w:t xml:space="preserve"> (możliwość podglądu wszystkich kanałów oraz ich nałożenia)</w:t>
      </w:r>
    </w:p>
    <w:p w14:paraId="46ACD553" w14:textId="6F80B9F9" w:rsidR="00FD1680" w:rsidRDefault="00FD1680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tryby skanowania: linie oraz krzywe o dowolnym kształcie, obrazy dwuwymiarowe w osiach </w:t>
      </w:r>
      <w:proofErr w:type="spellStart"/>
      <w:r w:rsidRPr="00B43BF2">
        <w:t>xy</w:t>
      </w:r>
      <w:proofErr w:type="spellEnd"/>
      <w:r w:rsidRPr="00B43BF2">
        <w:t xml:space="preserve">, </w:t>
      </w:r>
      <w:proofErr w:type="spellStart"/>
      <w:r w:rsidRPr="00B43BF2">
        <w:t>xz</w:t>
      </w:r>
      <w:proofErr w:type="spellEnd"/>
      <w:r w:rsidRPr="00B43BF2">
        <w:t xml:space="preserve">, </w:t>
      </w:r>
      <w:proofErr w:type="spellStart"/>
      <w:r w:rsidRPr="00B43BF2">
        <w:t>yz</w:t>
      </w:r>
      <w:proofErr w:type="spellEnd"/>
      <w:r w:rsidRPr="00B43BF2">
        <w:t xml:space="preserve">, obrazy trójwymiarowe w osiach </w:t>
      </w:r>
      <w:proofErr w:type="spellStart"/>
      <w:r w:rsidRPr="00B43BF2">
        <w:t>xyz</w:t>
      </w:r>
      <w:proofErr w:type="spellEnd"/>
      <w:r w:rsidRPr="00B43BF2">
        <w:t xml:space="preserve"> oraz wszystkie te kombinacje dodatkowo rejestrowane w sekwencjach czasowych</w:t>
      </w:r>
    </w:p>
    <w:p w14:paraId="428DB72D" w14:textId="51B90A92" w:rsidR="00C25C1A" w:rsidRDefault="00C25C1A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lastRenderedPageBreak/>
        <w:t xml:space="preserve">możliwość definiowania sekwencji czasowych z opcją </w:t>
      </w:r>
      <w:proofErr w:type="spellStart"/>
      <w:r w:rsidRPr="00B43BF2">
        <w:t>fotoaktywacji</w:t>
      </w:r>
      <w:proofErr w:type="spellEnd"/>
      <w:r w:rsidRPr="00B43BF2">
        <w:t xml:space="preserve"> lub </w:t>
      </w:r>
      <w:proofErr w:type="spellStart"/>
      <w:r w:rsidRPr="00B43BF2">
        <w:t>fotowypalania</w:t>
      </w:r>
      <w:proofErr w:type="spellEnd"/>
      <w:r w:rsidRPr="00B43BF2">
        <w:t xml:space="preserve"> (pojedynczego lub sekwencyjnie powtarzającego się) w dowolnym obszarze, dowolną linią laserów, z dowolną mocą</w:t>
      </w:r>
    </w:p>
    <w:p w14:paraId="5DECD778" w14:textId="62130496" w:rsidR="00A87BCD" w:rsidRDefault="00A87BCD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detekcja spektralna z możliwością jednoczesnego wykorzystania wszystkich detektorów, nastawiana z dokładnością min. 3 </w:t>
      </w:r>
      <w:proofErr w:type="spellStart"/>
      <w:r>
        <w:t>nm</w:t>
      </w:r>
      <w:proofErr w:type="spellEnd"/>
    </w:p>
    <w:p w14:paraId="4B121185" w14:textId="0F36FB3A" w:rsidR="0017288F" w:rsidRDefault="0017288F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EE3017">
        <w:t>możliwość automatycznej kompensacji zmian jasności podczas rejestracji obrazów 3D poprzez regulację intensywności wykorzystywanej mocy laserów lub czułości detektorów wraz ze zmianą w osi z</w:t>
      </w:r>
    </w:p>
    <w:p w14:paraId="4E727195" w14:textId="177C5293" w:rsidR="00F51470" w:rsidRDefault="00F51470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dowolnie definiowany kształt obszarów, w których odbywa się skanowanie, odwzorowywany z dokładnością piksela </w:t>
      </w:r>
      <w:r w:rsidRPr="00EE3017">
        <w:t>(przy skanowaniu kilku obszarów, możliwość wyboru różnych mocy i linii laserów)</w:t>
      </w:r>
    </w:p>
    <w:p w14:paraId="73585ECB" w14:textId="20397793" w:rsidR="00DC4488" w:rsidRDefault="00DC4488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>
        <w:t>ws</w:t>
      </w:r>
      <w:r w:rsidRPr="007103CF">
        <w:t>z</w:t>
      </w:r>
      <w:r>
        <w:t>ystkie parametry głowicy skanującej ustawiane automatycznie oraz zapisywane wraz z rejestrowanym obrazem</w:t>
      </w:r>
    </w:p>
    <w:p w14:paraId="42AD19F5" w14:textId="05C99404" w:rsidR="005F00EE" w:rsidRDefault="005F00EE" w:rsidP="00C10AE1">
      <w:pPr>
        <w:pStyle w:val="Akapitzlist"/>
        <w:numPr>
          <w:ilvl w:val="1"/>
          <w:numId w:val="25"/>
        </w:numPr>
        <w:spacing w:line="278" w:lineRule="auto"/>
        <w:jc w:val="both"/>
      </w:pPr>
      <w:r w:rsidRPr="00743456">
        <w:t>sterowanie systemem</w:t>
      </w:r>
      <w:r>
        <w:t xml:space="preserve"> skanującym poprzez niezależną od komputera elektronikę pracującą</w:t>
      </w:r>
      <w:r w:rsidRPr="00743456">
        <w:t xml:space="preserve"> w czasie</w:t>
      </w:r>
      <w:r>
        <w:t xml:space="preserve"> rzeczywistym</w:t>
      </w:r>
      <w:r w:rsidRPr="00743456">
        <w:t xml:space="preserve"> (możliwość niezależnej rejestracji obrazu oraz analizy wcześniej zapisanych danych)</w:t>
      </w:r>
    </w:p>
    <w:p w14:paraId="7581288D" w14:textId="1A92AE84" w:rsidR="005F00EE" w:rsidRDefault="005F00EE" w:rsidP="005F00EE">
      <w:pPr>
        <w:pStyle w:val="Akapitzlist"/>
        <w:numPr>
          <w:ilvl w:val="0"/>
          <w:numId w:val="25"/>
        </w:numPr>
        <w:spacing w:line="278" w:lineRule="auto"/>
        <w:jc w:val="both"/>
      </w:pPr>
      <w:r>
        <w:t>Stacja badawcza z monitorem do podglądu i analizy rejestrowanych obrazów</w:t>
      </w:r>
    </w:p>
    <w:p w14:paraId="50C9F5EA" w14:textId="08F7EC0D" w:rsidR="00760481" w:rsidRDefault="00760481" w:rsidP="00760481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Stacja badawcza do sterowania pracą systemu do obserwacji roślin zgodnie z bodźcem </w:t>
      </w:r>
      <w:proofErr w:type="spellStart"/>
      <w:r>
        <w:t>grawitropicznym</w:t>
      </w:r>
      <w:proofErr w:type="spellEnd"/>
      <w:r>
        <w:t xml:space="preserve"> i do zaawansowanej analizy danych, wyposażona we wszystkie elementy peryferyjne, okablowanie i akcesoria niezbędne do pracy systemu.</w:t>
      </w:r>
    </w:p>
    <w:p w14:paraId="6EEBF8CF" w14:textId="77777777" w:rsidR="00760481" w:rsidRDefault="00760481" w:rsidP="00760481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Stacja badawcza musi być fabrycznie nowa, kompletna, w pełni skonfigurowana i przygotowana do pracy z oferowanym systemem do obserwacji roślin zgodnie z bodźcem </w:t>
      </w:r>
      <w:proofErr w:type="spellStart"/>
      <w:r>
        <w:t>grawitropicznym</w:t>
      </w:r>
      <w:proofErr w:type="spellEnd"/>
      <w:r>
        <w:t xml:space="preserve">  oraz z całym dostarczanym oprogramowaniem.</w:t>
      </w:r>
    </w:p>
    <w:p w14:paraId="6DB4FF21" w14:textId="77777777" w:rsidR="00760481" w:rsidRDefault="00760481" w:rsidP="00760481">
      <w:pPr>
        <w:pStyle w:val="Akapitzlist"/>
        <w:numPr>
          <w:ilvl w:val="1"/>
          <w:numId w:val="25"/>
        </w:numPr>
        <w:spacing w:line="278" w:lineRule="auto"/>
        <w:jc w:val="both"/>
      </w:pPr>
      <w:r>
        <w:t>Parametry sprzętowe stacji badawczej, w szczególności procesor, pamięć operacyjna RAM, karta graficzna, przestrzeń dyskowa, interfejsy komunikacyjne oraz system operacyjny, muszą być zgodne z wymaganiami producenta aparatury i oprogramowania oraz zapewniać stabilną, płynną i bezpieczną pracę całego systemu.</w:t>
      </w:r>
    </w:p>
    <w:p w14:paraId="53AC7E69" w14:textId="7E0BC1F6" w:rsidR="00760481" w:rsidRDefault="00760481" w:rsidP="00760481">
      <w:pPr>
        <w:pStyle w:val="Akapitzlist"/>
        <w:numPr>
          <w:ilvl w:val="1"/>
          <w:numId w:val="25"/>
        </w:numPr>
        <w:spacing w:line="278" w:lineRule="auto"/>
        <w:jc w:val="both"/>
      </w:pPr>
      <w:r>
        <w:t>Konfiguracja stacji badawczej musi uwzględniać nie tylko aktualne wymagania dostarczanego oprogramowania, lecz również zapewniać odpowiedni zapas wydajności umożliwiający obsługę aktualizacji oraz kolejnych wersji oprogramowania producenta w okresie co najmniej 2 lat od daty instalacji systemu. Wykonawca zobowiązany jest dostarczyć stację badawczą o parametrach nie niższych niż rekomendowane przez producenta aparatury i oprogramowania dla pełnej funkcjonalności oferowanego systemu.</w:t>
      </w:r>
    </w:p>
    <w:p w14:paraId="42FC6C6A" w14:textId="1B7A71DD" w:rsidR="00760481" w:rsidRDefault="00760481" w:rsidP="00760481">
      <w:pPr>
        <w:pStyle w:val="Akapitzlist"/>
        <w:numPr>
          <w:ilvl w:val="1"/>
          <w:numId w:val="25"/>
        </w:numPr>
        <w:spacing w:line="278" w:lineRule="auto"/>
        <w:jc w:val="both"/>
      </w:pPr>
      <w:r>
        <w:t>Całość musi być w pełni kompatybilna z oferowanym oprogramowaniem, urządzeniami oraz akcesoriami. Wykonawca odpowiada za prawidłową integrację stacji badawczej, urządzeń peryferyjnych i oprogramowania z dostarczanym systemem oraz za zapewnienie ich poprawnego działania po instalacji.</w:t>
      </w:r>
    </w:p>
    <w:p w14:paraId="31E38471" w14:textId="41AD643B" w:rsidR="00C8203E" w:rsidRDefault="00C8203E" w:rsidP="00C8203E">
      <w:pPr>
        <w:pStyle w:val="Akapitzlist"/>
        <w:numPr>
          <w:ilvl w:val="0"/>
          <w:numId w:val="25"/>
        </w:numPr>
        <w:spacing w:line="278" w:lineRule="auto"/>
        <w:jc w:val="both"/>
      </w:pPr>
      <w:r>
        <w:t>Oprogramowanie do rejestracji i analizy obrazów</w:t>
      </w:r>
    </w:p>
    <w:p w14:paraId="35B2C733" w14:textId="2690B3A4" w:rsidR="00C842BB" w:rsidRDefault="00C842BB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funkcja zapisywania istotnych parametrów skanowania wraz z obrazem, możliwość automatycznego odtwarzania tych parametrów</w:t>
      </w:r>
    </w:p>
    <w:p w14:paraId="1C68B2CF" w14:textId="77A07E18" w:rsidR="007A5560" w:rsidRDefault="007A5560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>
        <w:t>pełna obsługa mikroskopu oraz głowicy skanującej i układu super-rozdzielczego z poziomu jednego oprogramowania</w:t>
      </w:r>
    </w:p>
    <w:p w14:paraId="528919F1" w14:textId="70B51EBF" w:rsidR="00A709A9" w:rsidRDefault="00A709A9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prezentacja obrazu w skali szarości, </w:t>
      </w:r>
      <w:proofErr w:type="spellStart"/>
      <w:r w:rsidRPr="00B43BF2">
        <w:t>pseudokolorach</w:t>
      </w:r>
      <w:proofErr w:type="spellEnd"/>
      <w:r w:rsidRPr="00B43BF2">
        <w:t xml:space="preserve"> lub skalach barwnych</w:t>
      </w:r>
    </w:p>
    <w:p w14:paraId="13444927" w14:textId="3DB71524" w:rsidR="00101018" w:rsidRDefault="00101018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lastRenderedPageBreak/>
        <w:t>pomiary intensywności świecenia wzdłuż dowolnej krzywej, pomiary średniej intensywności świecenia z dowolnie wybranego obszaru</w:t>
      </w:r>
    </w:p>
    <w:p w14:paraId="158F121D" w14:textId="2CB694F7" w:rsidR="00821412" w:rsidRDefault="00821412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pomiary zmian intensywności świecenia w czasie, w wybranym obszarze</w:t>
      </w:r>
    </w:p>
    <w:p w14:paraId="79F2B906" w14:textId="6FB11875" w:rsidR="00CD4631" w:rsidRDefault="00CD4631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pakiet do analizy </w:t>
      </w:r>
      <w:proofErr w:type="spellStart"/>
      <w:r w:rsidRPr="00B43BF2">
        <w:t>kolokalizacji</w:t>
      </w:r>
      <w:proofErr w:type="spellEnd"/>
      <w:r w:rsidRPr="00B43BF2">
        <w:t xml:space="preserve"> sygnałów z możliwością podglądu nakładających się punktów na obrazie oryginalnym, wykres </w:t>
      </w:r>
      <w:proofErr w:type="spellStart"/>
      <w:r w:rsidRPr="00B43BF2">
        <w:t>kolokalizacji</w:t>
      </w:r>
      <w:proofErr w:type="spellEnd"/>
      <w:r w:rsidRPr="00B43BF2">
        <w:t xml:space="preserve"> oraz dane liczbowe z możliwością eksportu</w:t>
      </w:r>
    </w:p>
    <w:p w14:paraId="6CE5BA2E" w14:textId="4424708B" w:rsidR="00CB04E2" w:rsidRDefault="00CB04E2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pakiet „channel </w:t>
      </w:r>
      <w:proofErr w:type="spellStart"/>
      <w:r w:rsidRPr="00B43BF2">
        <w:t>unmixing</w:t>
      </w:r>
      <w:proofErr w:type="spellEnd"/>
      <w:r w:rsidRPr="00B43BF2">
        <w:t>” do programowego separowania sygnałów o nakładających się widmach</w:t>
      </w:r>
    </w:p>
    <w:p w14:paraId="391D518C" w14:textId="34CE46B8" w:rsidR="00B3567F" w:rsidRDefault="00B3567F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pakiet </w:t>
      </w:r>
      <w:r>
        <w:t>umożliwiający rejestracje w czasie, z możliwością definiowania częstotliwości akwizycji obrazu</w:t>
      </w:r>
    </w:p>
    <w:p w14:paraId="79634A94" w14:textId="713117FC" w:rsidR="004E1F72" w:rsidRDefault="004E1F72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>pomiary geom</w:t>
      </w:r>
      <w:r>
        <w:t>etryczne (odległość, obwód</w:t>
      </w:r>
      <w:r w:rsidRPr="00B43BF2">
        <w:t>), nanoszenie skali, opisów, wskaźników itp.</w:t>
      </w:r>
    </w:p>
    <w:p w14:paraId="62C23A68" w14:textId="504782D2" w:rsidR="00B95B0D" w:rsidRDefault="00B95B0D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możliwość importu oraz eksportu danych do powszechnie wykorzystywanych formatów np. </w:t>
      </w:r>
      <w:proofErr w:type="spellStart"/>
      <w:r w:rsidRPr="00B43BF2">
        <w:t>tif</w:t>
      </w:r>
      <w:proofErr w:type="spellEnd"/>
      <w:r w:rsidRPr="00B43BF2">
        <w:t xml:space="preserve">, gif, jpg, </w:t>
      </w:r>
      <w:proofErr w:type="spellStart"/>
      <w:r w:rsidRPr="00B43BF2">
        <w:t>bmp</w:t>
      </w:r>
      <w:proofErr w:type="spellEnd"/>
      <w:r w:rsidRPr="00B43BF2">
        <w:t xml:space="preserve">, </w:t>
      </w:r>
      <w:proofErr w:type="spellStart"/>
      <w:r w:rsidRPr="00B43BF2">
        <w:t>psd</w:t>
      </w:r>
      <w:proofErr w:type="spellEnd"/>
      <w:r w:rsidRPr="00B43BF2">
        <w:t xml:space="preserve">, </w:t>
      </w:r>
      <w:proofErr w:type="spellStart"/>
      <w:r w:rsidRPr="00B43BF2">
        <w:t>avi</w:t>
      </w:r>
      <w:proofErr w:type="spellEnd"/>
      <w:r w:rsidRPr="00B43BF2">
        <w:t xml:space="preserve">, </w:t>
      </w:r>
      <w:proofErr w:type="spellStart"/>
      <w:r w:rsidRPr="00B43BF2">
        <w:t>mov</w:t>
      </w:r>
      <w:proofErr w:type="spellEnd"/>
    </w:p>
    <w:p w14:paraId="60AA3E8F" w14:textId="7E2ED979" w:rsidR="00903243" w:rsidRPr="0075512D" w:rsidRDefault="00903243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 w:rsidRPr="00B43BF2">
        <w:t xml:space="preserve">darmowe oprogramowanie dla dowolnej ilości </w:t>
      </w:r>
      <w:r>
        <w:t>użytkowników</w:t>
      </w:r>
      <w:r w:rsidRPr="00B43BF2">
        <w:t xml:space="preserve"> umożliwiające </w:t>
      </w:r>
      <w:r w:rsidRPr="00B43BF2">
        <w:rPr>
          <w:snapToGrid w:val="0"/>
        </w:rPr>
        <w:t xml:space="preserve">pracę z bazą danych obrazowych </w:t>
      </w:r>
      <w:r>
        <w:rPr>
          <w:snapToGrid w:val="0"/>
        </w:rPr>
        <w:t>zarejestrowanych</w:t>
      </w:r>
      <w:r w:rsidRPr="00B43BF2">
        <w:rPr>
          <w:snapToGrid w:val="0"/>
        </w:rPr>
        <w:t xml:space="preserve"> przy po</w:t>
      </w:r>
      <w:r>
        <w:rPr>
          <w:snapToGrid w:val="0"/>
        </w:rPr>
        <w:t>mocy mikroskopu</w:t>
      </w:r>
      <w:r w:rsidRPr="00B43BF2">
        <w:rPr>
          <w:snapToGrid w:val="0"/>
        </w:rPr>
        <w:t xml:space="preserve">, odtwarzanie animacji (3D, 4D), nakładanie opisów i </w:t>
      </w:r>
      <w:r>
        <w:rPr>
          <w:snapToGrid w:val="0"/>
        </w:rPr>
        <w:t>wskaźników</w:t>
      </w:r>
      <w:r w:rsidRPr="00B43BF2">
        <w:rPr>
          <w:snapToGrid w:val="0"/>
        </w:rPr>
        <w:t>, rzeczywista skala, pomiary interaktywne, import oraz export danych, funkcja drukowania</w:t>
      </w:r>
    </w:p>
    <w:p w14:paraId="4BCA82E4" w14:textId="330C3082" w:rsidR="0075512D" w:rsidRDefault="0075512D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oprogramowanie do </w:t>
      </w:r>
      <w:r w:rsidRPr="00C11E37">
        <w:t>analizy obiektów 3D</w:t>
      </w:r>
      <w:r>
        <w:t xml:space="preserve">, </w:t>
      </w:r>
      <w:r w:rsidRPr="00234A84">
        <w:t>Użytkownik może użyć narzędzia Image Analysis do szybkiej i łatwej w użyciu kwantyfikacji oraz obrazów 3D</w:t>
      </w:r>
    </w:p>
    <w:p w14:paraId="6B7C10A8" w14:textId="1197E423" w:rsidR="002F3831" w:rsidRDefault="002F3831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>
        <w:t>moduł AI do zadań segmentacji w ramach procesów analizy</w:t>
      </w:r>
    </w:p>
    <w:p w14:paraId="35C1FB31" w14:textId="6DCE5D0A" w:rsidR="00E17632" w:rsidRDefault="00E17632" w:rsidP="00C842BB">
      <w:pPr>
        <w:pStyle w:val="Akapitzlist"/>
        <w:numPr>
          <w:ilvl w:val="1"/>
          <w:numId w:val="25"/>
        </w:numPr>
        <w:spacing w:line="278" w:lineRule="auto"/>
        <w:jc w:val="both"/>
      </w:pPr>
      <w:r>
        <w:t>moduł umożliwiający tworzenie zautomatyzowanych procesów roboczych oraz powalający zautomatyzować akwizycję, przetwarzanie i analizę obrazów</w:t>
      </w:r>
    </w:p>
    <w:p w14:paraId="7389CA0A" w14:textId="30D34EB5" w:rsidR="009517DD" w:rsidRDefault="009517DD" w:rsidP="009517DD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moduł zawierający funkcje do badania różnorodnych zjawisk dynamicznych i interakcji molekularnych w różnych próbkach, </w:t>
      </w:r>
      <w:proofErr w:type="spellStart"/>
      <w:r>
        <w:t>Physiology</w:t>
      </w:r>
      <w:proofErr w:type="spellEnd"/>
      <w:r>
        <w:t xml:space="preserve">, FRAP, FRET, automatyczna </w:t>
      </w:r>
      <w:proofErr w:type="spellStart"/>
      <w:r>
        <w:t>fotomanipulacja</w:t>
      </w:r>
      <w:proofErr w:type="spellEnd"/>
    </w:p>
    <w:p w14:paraId="32A9623D" w14:textId="272A9A53" w:rsidR="002D162C" w:rsidRDefault="002D162C" w:rsidP="009517DD">
      <w:pPr>
        <w:pStyle w:val="Akapitzlist"/>
        <w:numPr>
          <w:ilvl w:val="1"/>
          <w:numId w:val="25"/>
        </w:numPr>
        <w:spacing w:line="278" w:lineRule="auto"/>
        <w:jc w:val="both"/>
      </w:pPr>
      <w:r>
        <w:t>m</w:t>
      </w:r>
      <w:r w:rsidRPr="009A031A">
        <w:t xml:space="preserve">oduł asystent </w:t>
      </w:r>
      <w:r>
        <w:t>AI</w:t>
      </w:r>
      <w:r w:rsidRPr="009A031A">
        <w:t>, umożliwiający w</w:t>
      </w:r>
      <w:r>
        <w:t xml:space="preserve"> dowolnym momencie pracy przy mikroskopie zadawanie pytań i uzyskiwanie odpowiedzi</w:t>
      </w:r>
    </w:p>
    <w:p w14:paraId="6F6474D4" w14:textId="3114811D" w:rsidR="0031119F" w:rsidRDefault="0031119F" w:rsidP="0031119F">
      <w:pPr>
        <w:pStyle w:val="Akapitzlist"/>
        <w:numPr>
          <w:ilvl w:val="0"/>
          <w:numId w:val="25"/>
        </w:numPr>
        <w:spacing w:line="278" w:lineRule="auto"/>
        <w:jc w:val="both"/>
      </w:pPr>
      <w:r>
        <w:t>Stół antywibracyjny tłumiący drgania</w:t>
      </w:r>
    </w:p>
    <w:p w14:paraId="6830F226" w14:textId="05CE803B" w:rsidR="0031119F" w:rsidRDefault="00BA2F3D" w:rsidP="0031119F">
      <w:pPr>
        <w:pStyle w:val="Akapitzlist"/>
        <w:numPr>
          <w:ilvl w:val="1"/>
          <w:numId w:val="25"/>
        </w:numPr>
        <w:spacing w:line="278" w:lineRule="auto"/>
        <w:jc w:val="both"/>
      </w:pPr>
      <w:r w:rsidRPr="002738BE">
        <w:t xml:space="preserve">stół </w:t>
      </w:r>
      <w:r>
        <w:t>pod mikroskop z systemem absorp</w:t>
      </w:r>
      <w:r w:rsidRPr="002738BE">
        <w:t>cji wibracji</w:t>
      </w:r>
    </w:p>
    <w:p w14:paraId="0FDDF4F2" w14:textId="510AA488" w:rsidR="00DD46D3" w:rsidRDefault="00DD46D3" w:rsidP="0031119F">
      <w:pPr>
        <w:pStyle w:val="Akapitzlist"/>
        <w:numPr>
          <w:ilvl w:val="1"/>
          <w:numId w:val="25"/>
        </w:numPr>
        <w:spacing w:line="278" w:lineRule="auto"/>
        <w:jc w:val="both"/>
      </w:pPr>
      <w:r>
        <w:t>nagwintowane w blacie stołu otwory metryczne umożliwiające montaż mikroskopu oraz elementów dodatkowych</w:t>
      </w:r>
    </w:p>
    <w:p w14:paraId="1301436F" w14:textId="3284C06F" w:rsidR="00324902" w:rsidRDefault="00324902" w:rsidP="0031119F">
      <w:pPr>
        <w:pStyle w:val="Akapitzlist"/>
        <w:numPr>
          <w:ilvl w:val="1"/>
          <w:numId w:val="25"/>
        </w:numPr>
        <w:spacing w:line="278" w:lineRule="auto"/>
        <w:jc w:val="both"/>
      </w:pPr>
      <w:r>
        <w:t>kompresor</w:t>
      </w:r>
    </w:p>
    <w:p w14:paraId="1C6D2293" w14:textId="6864C448" w:rsidR="00E941B1" w:rsidRDefault="00E941B1" w:rsidP="00E941B1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System do </w:t>
      </w:r>
      <w:proofErr w:type="spellStart"/>
      <w:r>
        <w:t>mikrofluidyki</w:t>
      </w:r>
      <w:proofErr w:type="spellEnd"/>
    </w:p>
    <w:p w14:paraId="104DFAF6" w14:textId="0F407C49" w:rsidR="00E941B1" w:rsidRDefault="00472E11" w:rsidP="00E941B1">
      <w:pPr>
        <w:pStyle w:val="Akapitzlist"/>
        <w:numPr>
          <w:ilvl w:val="1"/>
          <w:numId w:val="25"/>
        </w:numPr>
        <w:spacing w:line="278" w:lineRule="auto"/>
        <w:jc w:val="both"/>
      </w:pPr>
      <w:r>
        <w:t xml:space="preserve">natężenie przepływu w zakresie </w:t>
      </w:r>
      <w:r w:rsidRPr="0012796A">
        <w:t>od 40 µl/min do 1 ml/min</w:t>
      </w:r>
    </w:p>
    <w:p w14:paraId="523C2E59" w14:textId="517340D8" w:rsidR="001215A0" w:rsidRDefault="001215A0" w:rsidP="00E941B1">
      <w:pPr>
        <w:pStyle w:val="Akapitzlist"/>
        <w:numPr>
          <w:ilvl w:val="1"/>
          <w:numId w:val="25"/>
        </w:numPr>
        <w:spacing w:line="278" w:lineRule="auto"/>
        <w:jc w:val="both"/>
      </w:pPr>
      <w:r>
        <w:t>możliwość podłączenia wielu komór przepływowych</w:t>
      </w:r>
    </w:p>
    <w:p w14:paraId="5DEBA2E5" w14:textId="0A2AB2E5" w:rsidR="00F2094E" w:rsidRDefault="00B274AE" w:rsidP="00F2094E">
      <w:pPr>
        <w:pStyle w:val="Akapitzlist"/>
        <w:numPr>
          <w:ilvl w:val="1"/>
          <w:numId w:val="25"/>
        </w:numPr>
        <w:spacing w:line="278" w:lineRule="auto"/>
        <w:jc w:val="both"/>
      </w:pPr>
      <w:proofErr w:type="spellStart"/>
      <w:r>
        <w:t>paralelizacja</w:t>
      </w:r>
      <w:proofErr w:type="spellEnd"/>
      <w:r>
        <w:t xml:space="preserve"> do 9 próbek</w:t>
      </w:r>
    </w:p>
    <w:p w14:paraId="38FA487C" w14:textId="77777777" w:rsidR="00120090" w:rsidRDefault="00120090" w:rsidP="00F6478B">
      <w:pPr>
        <w:pStyle w:val="Akapitzlist"/>
        <w:numPr>
          <w:ilvl w:val="0"/>
          <w:numId w:val="25"/>
        </w:numPr>
        <w:spacing w:line="278" w:lineRule="auto"/>
        <w:jc w:val="both"/>
      </w:pPr>
      <w:r>
        <w:t xml:space="preserve">Zasilacz awaryjny UPS do systemu. </w:t>
      </w:r>
    </w:p>
    <w:p w14:paraId="1B0D8C35" w14:textId="77777777" w:rsidR="00DB179B" w:rsidRPr="002E6099" w:rsidRDefault="00DB179B" w:rsidP="00F6478B">
      <w:pPr>
        <w:pStyle w:val="Akapitzlist"/>
        <w:numPr>
          <w:ilvl w:val="0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W związku z realizacją wskaźnika środowiskowego projektu oraz zasadą </w:t>
      </w:r>
      <w:proofErr w:type="spellStart"/>
      <w:r w:rsidRPr="002E6099">
        <w:rPr>
          <w:color w:val="000000" w:themeColor="text1"/>
        </w:rPr>
        <w:t>Rethink</w:t>
      </w:r>
      <w:proofErr w:type="spellEnd"/>
      <w:r w:rsidRPr="002E6099">
        <w:rPr>
          <w:color w:val="000000" w:themeColor="text1"/>
        </w:rPr>
        <w:t xml:space="preserve"> Zamawiający wymaga, aby oferowany System spełniał minimalne wymagania środowiskowe i eksploatacyjne dotyczące efektywności energetycznej, trybu ograniczonego poboru energii, serwisowalności, modularności oraz ograniczenia odpadów opakowaniowych poprzez: </w:t>
      </w:r>
    </w:p>
    <w:p w14:paraId="543F5E07" w14:textId="77777777" w:rsidR="00CB645C" w:rsidRPr="00CB645C" w:rsidRDefault="00CB645C" w:rsidP="00CB645C">
      <w:pPr>
        <w:pStyle w:val="Akapitzlist"/>
        <w:numPr>
          <w:ilvl w:val="1"/>
          <w:numId w:val="25"/>
        </w:numPr>
        <w:spacing w:line="278" w:lineRule="auto"/>
        <w:jc w:val="both"/>
      </w:pPr>
      <w:r w:rsidRPr="00E52041">
        <w:t xml:space="preserve">System zarządzania </w:t>
      </w:r>
      <w:r w:rsidRPr="00CB645C">
        <w:t>środowiskowego</w:t>
      </w:r>
    </w:p>
    <w:p w14:paraId="1E07257C" w14:textId="77777777" w:rsidR="00CB645C" w:rsidRPr="00E52041" w:rsidRDefault="00CB645C" w:rsidP="00CB645C">
      <w:pPr>
        <w:pStyle w:val="Akapitzlist"/>
        <w:numPr>
          <w:ilvl w:val="2"/>
          <w:numId w:val="25"/>
        </w:numPr>
        <w:spacing w:line="278" w:lineRule="auto"/>
        <w:jc w:val="both"/>
      </w:pPr>
      <w:r w:rsidRPr="00CB645C">
        <w:t>Wyprodukowanie sprzętu w myśl systemu zarządzania środowiskowego</w:t>
      </w:r>
      <w:r w:rsidRPr="00E52041">
        <w:t xml:space="preserve"> potwierdzone spełnieniem norm ISO 14001 wystawione przez odpowiednią jednostkę oceniającą w rozumieniu ustawy </w:t>
      </w:r>
      <w:proofErr w:type="spellStart"/>
      <w:r w:rsidRPr="00E52041">
        <w:t>Pzp</w:t>
      </w:r>
      <w:proofErr w:type="spellEnd"/>
      <w:r w:rsidRPr="00E52041">
        <w:t xml:space="preserve">  lub innym dokumentem równoważnym, potwierdzającym </w:t>
      </w:r>
      <w:r w:rsidRPr="00E52041">
        <w:lastRenderedPageBreak/>
        <w:t>wdrożenie i stosowanie systemu zarządzania środowiskowego spełniającego wymagania równoważne do normy ISO 14001</w:t>
      </w:r>
    </w:p>
    <w:p w14:paraId="1335D1F4" w14:textId="77777777" w:rsidR="00CB645C" w:rsidRPr="00E52041" w:rsidRDefault="00CB645C" w:rsidP="00CB645C">
      <w:pPr>
        <w:pStyle w:val="Akapitzlist"/>
        <w:numPr>
          <w:ilvl w:val="2"/>
          <w:numId w:val="25"/>
        </w:numPr>
        <w:spacing w:line="278" w:lineRule="auto"/>
        <w:jc w:val="both"/>
      </w:pPr>
      <w:r w:rsidRPr="00E52041">
        <w:t xml:space="preserve">Na potwierdzenie z pkt i) wykonawca zobowiązany jest załączyć do oferty Certyfikat ISO 14001 lub wskazać w formularzu ofertowym oficjalne strony www producenta sprzętu gdzie certyfikat jest możliwy do obejrzenia/pobrania </w:t>
      </w:r>
    </w:p>
    <w:p w14:paraId="1E5EEBC8" w14:textId="102940E0" w:rsidR="004E1AB8" w:rsidRPr="002E6099" w:rsidRDefault="004E1AB8" w:rsidP="00F6478B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Certyfikat ISO 14001 musi być wystawiony dla każdego producenta sprzętu oferowanego przez wykonawcę wskazanego w formularzu cenowym. Za producenta uznaje się każda osobę fizyczną lub prawną albo jednostkę organizacyjną nie posiadającą osobowości prawnej dla której ten wyrób zaprojektowano lub wytworzono, w celu wprowadzenia go do obrotu lub oddania do użytku pod własną nazwą lub znakiem.</w:t>
      </w:r>
    </w:p>
    <w:p w14:paraId="377BEC65" w14:textId="77777777" w:rsidR="00DB179B" w:rsidRPr="002E6099" w:rsidRDefault="00DB179B" w:rsidP="00F6478B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Ograniczenie zużycia energii</w:t>
      </w:r>
    </w:p>
    <w:p w14:paraId="2828C053" w14:textId="77777777" w:rsidR="00DB179B" w:rsidRPr="002E6099" w:rsidRDefault="00DB179B" w:rsidP="00F6478B">
      <w:pPr>
        <w:pStyle w:val="Akapitzlist"/>
        <w:numPr>
          <w:ilvl w:val="2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 xml:space="preserve">Oferowany system musi umożliwiać ograniczenie zużycia energii w okresach nieaktywności, w szczególności poprzez tryb stand-by / tryb uśpienia / procedurę bezpiecznego ograniczenia poboru energii dla odpowiednich elementów systemu, w tym laserów oraz stacji badawczej. </w:t>
      </w:r>
    </w:p>
    <w:p w14:paraId="3E66FDA1" w14:textId="77777777" w:rsidR="00DB179B" w:rsidRPr="002E6099" w:rsidRDefault="00DB179B" w:rsidP="00F6478B">
      <w:pPr>
        <w:pStyle w:val="Akapitzlist"/>
        <w:numPr>
          <w:ilvl w:val="1"/>
          <w:numId w:val="25"/>
        </w:numPr>
        <w:spacing w:line="278" w:lineRule="auto"/>
        <w:jc w:val="both"/>
        <w:rPr>
          <w:color w:val="000000" w:themeColor="text1"/>
        </w:rPr>
      </w:pPr>
      <w:r w:rsidRPr="002E6099">
        <w:rPr>
          <w:color w:val="000000" w:themeColor="text1"/>
        </w:rPr>
        <w:t>Serwisowalność</w:t>
      </w:r>
    </w:p>
    <w:p w14:paraId="101CDC4A" w14:textId="2BC3D6F5" w:rsidR="00DB179B" w:rsidRPr="00E94CA2" w:rsidRDefault="00DB179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 w:rsidRPr="002E6099">
        <w:rPr>
          <w:color w:val="000000" w:themeColor="text1"/>
        </w:rPr>
        <w:t xml:space="preserve">Oferowany system musi być objęty gwarancją minimum 24 miesiące. Wykonawca zapewni dostępność części zamiennych, materiałów eksploatacyjnych i wsparcia serwisowego przez minimum </w:t>
      </w:r>
      <w:r w:rsidR="00E94CA2" w:rsidRPr="002E6099">
        <w:rPr>
          <w:color w:val="000000" w:themeColor="text1"/>
        </w:rPr>
        <w:t>10</w:t>
      </w:r>
      <w:r w:rsidRPr="002E6099">
        <w:rPr>
          <w:color w:val="000000" w:themeColor="text1"/>
        </w:rPr>
        <w:t xml:space="preserve"> lat od odbioru </w:t>
      </w:r>
      <w:r w:rsidRPr="00E94CA2">
        <w:t xml:space="preserve">systemu. </w:t>
      </w:r>
    </w:p>
    <w:p w14:paraId="3E3BAB58" w14:textId="77777777" w:rsidR="00DB179B" w:rsidRPr="00E94CA2" w:rsidRDefault="00DB179B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Modularność i możliwość rozbudowy</w:t>
      </w:r>
    </w:p>
    <w:p w14:paraId="12292C1C" w14:textId="77777777" w:rsidR="00DB179B" w:rsidRPr="00E94CA2" w:rsidRDefault="00DB179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 xml:space="preserve">Oferowany system powinien umożliwiać rozbudowę lub wymianę wybranych modułów funkcjonalnych bez konieczności wymiany całego systemu, np. laserów, detektorów, dodatkowych modułów obrazowania, oprogramowania lub stacji badawczej. </w:t>
      </w:r>
    </w:p>
    <w:p w14:paraId="508DD92E" w14:textId="77777777" w:rsidR="00DB179B" w:rsidRPr="00E94CA2" w:rsidRDefault="00DB179B" w:rsidP="00F6478B">
      <w:pPr>
        <w:pStyle w:val="Akapitzlist"/>
        <w:numPr>
          <w:ilvl w:val="1"/>
          <w:numId w:val="25"/>
        </w:numPr>
        <w:spacing w:line="278" w:lineRule="auto"/>
        <w:jc w:val="both"/>
      </w:pPr>
      <w:r w:rsidRPr="00E94CA2">
        <w:t>Opakowania nadające się do recyklingu</w:t>
      </w:r>
    </w:p>
    <w:p w14:paraId="6CD19D97" w14:textId="77777777" w:rsidR="00DB179B" w:rsidRPr="00E94CA2" w:rsidRDefault="00DB179B" w:rsidP="00F6478B">
      <w:pPr>
        <w:pStyle w:val="Akapitzlist"/>
        <w:numPr>
          <w:ilvl w:val="2"/>
          <w:numId w:val="25"/>
        </w:numPr>
        <w:spacing w:line="278" w:lineRule="auto"/>
        <w:jc w:val="both"/>
      </w:pPr>
      <w:r w:rsidRPr="00E94CA2">
        <w:t>Wykonawca zadeklaruje, że dostarczy urządzenie w opakowaniach nadających się do recyklingu w możliwie największym zakresie, nie mniejszym niż 75% masy opakowań, z wyłączeniem elementów, których zastosowanie jest niezbędne ze względów bezpieczeństwa transportu aparatury.</w:t>
      </w:r>
    </w:p>
    <w:p w14:paraId="0FA22A89" w14:textId="77777777" w:rsidR="00E94CA2" w:rsidRDefault="00E94CA2" w:rsidP="001D6C2D">
      <w:pPr>
        <w:ind w:left="720"/>
        <w:contextualSpacing/>
        <w:jc w:val="both"/>
        <w:rPr>
          <w:rFonts w:ascii="Arial" w:eastAsia="Aptos" w:hAnsi="Arial" w:cs="Arial"/>
          <w:b/>
          <w:bCs/>
        </w:rPr>
      </w:pPr>
    </w:p>
    <w:p w14:paraId="24B44087" w14:textId="39BFD6DA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Instalacja i serwis</w:t>
      </w:r>
    </w:p>
    <w:p w14:paraId="321C3B42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</w:rPr>
      </w:pPr>
    </w:p>
    <w:p w14:paraId="054A95B7" w14:textId="751F3211" w:rsidR="00DB179B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Instruktaż stanowiskowy</w:t>
      </w:r>
      <w:r w:rsidRPr="00E94CA2">
        <w:rPr>
          <w:rFonts w:eastAsia="Aptos" w:cstheme="minorHAnsi"/>
        </w:rPr>
        <w:t xml:space="preserve"> </w:t>
      </w:r>
      <w:r w:rsidR="00E57BC0" w:rsidRPr="00E57BC0">
        <w:rPr>
          <w:rFonts w:eastAsia="Aptos" w:cstheme="minorHAnsi"/>
        </w:rPr>
        <w:t>operacyjny i aplikacyjny przeprowadzone przez specjalistę/inżyniera serwisu przeprowadzone po instalacji Urządzenia. Zaawansowany instruktaż aplikacyjny przeprowadzony przez specjalistę aplikacyjnego w wybranym przez Zamawiającego terminie. Wsparcie aplikacyjne przez cały okres używania systemu.</w:t>
      </w:r>
    </w:p>
    <w:p w14:paraId="5C6FCC87" w14:textId="77777777" w:rsidR="00E57BC0" w:rsidRPr="00E94CA2" w:rsidRDefault="00E57BC0" w:rsidP="001D6C2D">
      <w:pPr>
        <w:ind w:left="720"/>
        <w:contextualSpacing/>
        <w:jc w:val="both"/>
        <w:rPr>
          <w:rFonts w:eastAsia="Aptos" w:cstheme="minorHAnsi"/>
        </w:rPr>
      </w:pPr>
    </w:p>
    <w:p w14:paraId="195E4EAC" w14:textId="77777777" w:rsidR="00DB179B" w:rsidRPr="00E94CA2" w:rsidRDefault="00DB179B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E94CA2">
        <w:rPr>
          <w:rFonts w:eastAsia="Aptos" w:cstheme="minorHAnsi"/>
          <w:b/>
          <w:bCs/>
        </w:rPr>
        <w:t>Serwis, naprawy gwarancyjne</w:t>
      </w:r>
    </w:p>
    <w:p w14:paraId="1A72C657" w14:textId="77777777" w:rsidR="009D2FDD" w:rsidRPr="009D2FDD" w:rsidRDefault="00DB179B" w:rsidP="009D2FD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Serwis gwarancyjny</w:t>
      </w:r>
      <w:r w:rsidRPr="00E94CA2">
        <w:rPr>
          <w:rFonts w:eastAsia="Aptos" w:cstheme="minorHAnsi"/>
        </w:rPr>
        <w:t xml:space="preserve"> </w:t>
      </w:r>
      <w:r w:rsidR="009D2FDD" w:rsidRPr="009D2FDD">
        <w:rPr>
          <w:rFonts w:eastAsia="Aptos" w:cstheme="minorHAnsi"/>
        </w:rPr>
        <w:t>w miejscu użytkowania urządzeń realizowany za pośrednictwem Wykonawcy. W przypadku konieczności naprawy poza siedzibą Zamawiającego koszty demontażu, ponownej instalacji i transportu urządzeń oraz ryzyko utraty lub uszkodzenia urządzeń ponosi Wykonawca.</w:t>
      </w:r>
    </w:p>
    <w:p w14:paraId="402FB56C" w14:textId="77777777" w:rsidR="009D2FDD" w:rsidRPr="009D2FDD" w:rsidRDefault="009D2FDD" w:rsidP="009D2FDD">
      <w:pPr>
        <w:ind w:left="720"/>
        <w:contextualSpacing/>
        <w:jc w:val="both"/>
        <w:rPr>
          <w:rFonts w:eastAsia="Aptos" w:cstheme="minorHAnsi"/>
        </w:rPr>
      </w:pPr>
      <w:r w:rsidRPr="009D2FDD">
        <w:rPr>
          <w:rFonts w:eastAsia="Aptos" w:cstheme="minorHAnsi"/>
        </w:rPr>
        <w:t>Gwarancja realizowana będzie w miejscu instalacji sprzętu. Czas reakcji: do 24 godzin od przekazania zgłoszenia przez Zamawiającego.</w:t>
      </w:r>
    </w:p>
    <w:p w14:paraId="014FC475" w14:textId="77777777" w:rsidR="009D2FDD" w:rsidRPr="009D2FDD" w:rsidRDefault="009D2FDD" w:rsidP="009D2FDD">
      <w:pPr>
        <w:ind w:left="720"/>
        <w:contextualSpacing/>
        <w:jc w:val="both"/>
        <w:rPr>
          <w:rFonts w:eastAsia="Aptos" w:cstheme="minorHAnsi"/>
        </w:rPr>
      </w:pPr>
      <w:r w:rsidRPr="009D2FDD">
        <w:rPr>
          <w:rFonts w:eastAsia="Aptos" w:cstheme="minorHAnsi"/>
        </w:rPr>
        <w:lastRenderedPageBreak/>
        <w:t>Czas naprawy od momentu zgłoszenia:</w:t>
      </w:r>
    </w:p>
    <w:p w14:paraId="6C307645" w14:textId="77777777" w:rsidR="009D2FDD" w:rsidRPr="009D2FDD" w:rsidRDefault="009D2FDD" w:rsidP="009D2FDD">
      <w:pPr>
        <w:ind w:left="720"/>
        <w:contextualSpacing/>
        <w:jc w:val="both"/>
        <w:rPr>
          <w:rFonts w:eastAsia="Aptos" w:cstheme="minorHAnsi"/>
        </w:rPr>
      </w:pPr>
      <w:r w:rsidRPr="009D2FDD">
        <w:rPr>
          <w:rFonts w:eastAsia="Aptos" w:cstheme="minorHAnsi"/>
        </w:rPr>
        <w:t>a) do 14 dni od dnia przekazania zgłoszenia przez Zamawiającego w przypadku napraw niewymagających sprowadzenia specjalistycznych części zza granicy,</w:t>
      </w:r>
    </w:p>
    <w:p w14:paraId="1A3636FF" w14:textId="77777777" w:rsidR="009D2FDD" w:rsidRPr="009D2FDD" w:rsidRDefault="009D2FDD" w:rsidP="009D2FDD">
      <w:pPr>
        <w:ind w:left="720"/>
        <w:contextualSpacing/>
        <w:jc w:val="both"/>
        <w:rPr>
          <w:rFonts w:eastAsia="Aptos" w:cstheme="minorHAnsi"/>
        </w:rPr>
      </w:pPr>
      <w:r w:rsidRPr="009D2FDD">
        <w:rPr>
          <w:rFonts w:eastAsia="Aptos" w:cstheme="minorHAnsi"/>
        </w:rPr>
        <w:t>b) do 4 tygodni od dnia przekazania zgłoszenia przez Zamawiającego w przypadku napraw wymagających sprowadzenia specjalistycznych części zza granicy.</w:t>
      </w:r>
    </w:p>
    <w:p w14:paraId="59F86473" w14:textId="2CE8924E" w:rsidR="00DB179B" w:rsidRDefault="009D2FDD" w:rsidP="009D2FDD">
      <w:pPr>
        <w:ind w:left="720"/>
        <w:contextualSpacing/>
        <w:jc w:val="both"/>
        <w:rPr>
          <w:rFonts w:eastAsia="Aptos" w:cstheme="minorHAnsi"/>
        </w:rPr>
      </w:pPr>
      <w:r w:rsidRPr="009D2FDD">
        <w:rPr>
          <w:rFonts w:eastAsia="Aptos" w:cstheme="minorHAnsi"/>
        </w:rPr>
        <w:t>Wszelkie informacje dotyczące gwarancji i zgłaszania awarii będą zawarte w karcie  gwarancyjnej dostarczonej Zamawiającemu.</w:t>
      </w:r>
    </w:p>
    <w:p w14:paraId="68DD8034" w14:textId="77777777" w:rsidR="002A4EED" w:rsidRPr="00E94CA2" w:rsidRDefault="002A4EED" w:rsidP="009F4D53">
      <w:pPr>
        <w:ind w:left="720"/>
        <w:contextualSpacing/>
        <w:jc w:val="both"/>
        <w:rPr>
          <w:rFonts w:eastAsia="Aptos" w:cstheme="minorHAnsi"/>
        </w:rPr>
      </w:pPr>
    </w:p>
    <w:p w14:paraId="11E64BCF" w14:textId="77777777" w:rsidR="002A4EED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Gwarancja</w:t>
      </w:r>
    </w:p>
    <w:p w14:paraId="11B0DA0B" w14:textId="090CEF97" w:rsidR="00DB179B" w:rsidRPr="00E94CA2" w:rsidRDefault="002A4EED" w:rsidP="001D6C2D">
      <w:pPr>
        <w:ind w:left="720"/>
        <w:contextualSpacing/>
        <w:jc w:val="both"/>
        <w:rPr>
          <w:rFonts w:eastAsia="Aptos" w:cstheme="minorHAnsi"/>
          <w:b/>
          <w:bCs/>
        </w:rPr>
      </w:pPr>
      <w:r w:rsidRPr="002A4EED">
        <w:rPr>
          <w:rFonts w:eastAsia="Aptos" w:cstheme="minorHAnsi"/>
        </w:rPr>
        <w:t xml:space="preserve">Minimalny okres gwarancji </w:t>
      </w:r>
      <w:r w:rsidR="00723DAA" w:rsidRPr="00723DAA">
        <w:rPr>
          <w:rFonts w:eastAsia="Aptos" w:cstheme="minorHAnsi"/>
        </w:rPr>
        <w:t>- 12 miesięcy od dnia podpisania protokołu zdawczo –odbiorczego</w:t>
      </w:r>
      <w:r w:rsidR="00723DAA">
        <w:rPr>
          <w:rFonts w:eastAsia="Aptos" w:cstheme="minorHAnsi"/>
        </w:rPr>
        <w:t>.</w:t>
      </w:r>
    </w:p>
    <w:p w14:paraId="32FDE06C" w14:textId="77777777" w:rsidR="00E94CA2" w:rsidRDefault="00E94CA2" w:rsidP="001D6C2D">
      <w:pPr>
        <w:ind w:left="720"/>
        <w:contextualSpacing/>
        <w:jc w:val="both"/>
        <w:rPr>
          <w:rFonts w:eastAsia="Aptos" w:cstheme="minorHAnsi"/>
          <w:b/>
          <w:bCs/>
        </w:rPr>
      </w:pPr>
    </w:p>
    <w:p w14:paraId="568E2D17" w14:textId="77777777" w:rsidR="002A4EED" w:rsidRDefault="00DB179B" w:rsidP="001D6C2D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  <w:b/>
          <w:bCs/>
        </w:rPr>
        <w:t>Instalacja</w:t>
      </w:r>
    </w:p>
    <w:p w14:paraId="2F6F763C" w14:textId="0558F6D3" w:rsidR="005330CA" w:rsidRPr="005330CA" w:rsidRDefault="00DB179B" w:rsidP="005330CA">
      <w:pPr>
        <w:ind w:left="720"/>
        <w:contextualSpacing/>
        <w:jc w:val="both"/>
        <w:rPr>
          <w:rFonts w:eastAsia="Aptos" w:cstheme="minorHAnsi"/>
        </w:rPr>
      </w:pPr>
      <w:r w:rsidRPr="00E94CA2">
        <w:rPr>
          <w:rFonts w:eastAsia="Aptos" w:cstheme="minorHAnsi"/>
        </w:rPr>
        <w:t xml:space="preserve">Koszty </w:t>
      </w:r>
      <w:r w:rsidR="005330CA" w:rsidRPr="005330CA">
        <w:rPr>
          <w:rFonts w:eastAsia="Aptos" w:cstheme="minorHAnsi"/>
        </w:rPr>
        <w:t>transportu i instalacji pokrywa Wykonawca. Wykonawca zapewnia wykonanie przez autoryzowany serwis wszystkich wymaganych (opisanych w specyfikacji/dokumentacji technicznej) przeglądów/kalibracji/ adjustacji/sprawdzeń:</w:t>
      </w:r>
    </w:p>
    <w:p w14:paraId="6217A407" w14:textId="77777777" w:rsidR="005330CA" w:rsidRPr="005330CA" w:rsidRDefault="005330CA" w:rsidP="005330CA">
      <w:pPr>
        <w:ind w:left="720"/>
        <w:contextualSpacing/>
        <w:jc w:val="both"/>
        <w:rPr>
          <w:rFonts w:eastAsia="Aptos" w:cstheme="minorHAnsi"/>
        </w:rPr>
      </w:pPr>
      <w:r w:rsidRPr="005330CA">
        <w:rPr>
          <w:rFonts w:eastAsia="Aptos" w:cstheme="minorHAnsi"/>
        </w:rPr>
        <w:t>- po instalacji systemu</w:t>
      </w:r>
    </w:p>
    <w:p w14:paraId="3FFC7E47" w14:textId="77777777" w:rsidR="005330CA" w:rsidRPr="005330CA" w:rsidRDefault="005330CA" w:rsidP="005330CA">
      <w:pPr>
        <w:ind w:left="720"/>
        <w:contextualSpacing/>
        <w:jc w:val="both"/>
        <w:rPr>
          <w:rFonts w:eastAsia="Aptos" w:cstheme="minorHAnsi"/>
        </w:rPr>
      </w:pPr>
      <w:r w:rsidRPr="005330CA">
        <w:rPr>
          <w:rFonts w:eastAsia="Aptos" w:cstheme="minorHAnsi"/>
        </w:rPr>
        <w:t>- po 12 miesiącach od zainstalowania systemu (w okresie trwania gwarancji)</w:t>
      </w:r>
    </w:p>
    <w:p w14:paraId="2FFDAAE0" w14:textId="54854C8C" w:rsidR="00DB179B" w:rsidRDefault="005330CA" w:rsidP="005330CA">
      <w:pPr>
        <w:ind w:left="720"/>
        <w:contextualSpacing/>
        <w:jc w:val="both"/>
        <w:rPr>
          <w:rFonts w:eastAsia="Aptos" w:cstheme="minorHAnsi"/>
        </w:rPr>
      </w:pPr>
      <w:r w:rsidRPr="005330CA">
        <w:rPr>
          <w:rFonts w:eastAsia="Aptos" w:cstheme="minorHAnsi"/>
        </w:rPr>
        <w:t>- po każdym zgłoszeniu Użytkownika, w przypadku zauważenia nieprawidłowej pracy systemu w okresie gwarancyjnym</w:t>
      </w:r>
    </w:p>
    <w:p w14:paraId="79083C91" w14:textId="77777777" w:rsidR="005330CA" w:rsidRDefault="005330CA" w:rsidP="005330CA">
      <w:pPr>
        <w:ind w:left="720"/>
        <w:contextualSpacing/>
        <w:jc w:val="both"/>
        <w:rPr>
          <w:rFonts w:eastAsia="Aptos" w:cstheme="minorHAnsi"/>
        </w:rPr>
      </w:pPr>
    </w:p>
    <w:p w14:paraId="7E4DB5EE" w14:textId="77777777" w:rsidR="005330CA" w:rsidRPr="00E94CA2" w:rsidRDefault="005330CA" w:rsidP="005330CA">
      <w:pPr>
        <w:ind w:left="720"/>
        <w:contextualSpacing/>
        <w:jc w:val="both"/>
        <w:rPr>
          <w:rFonts w:eastAsia="Times New Roman" w:cstheme="minorHAnsi"/>
          <w:lang w:eastAsia="pl-PL"/>
        </w:rPr>
      </w:pPr>
    </w:p>
    <w:p w14:paraId="31912160" w14:textId="77777777" w:rsidR="00DB179B" w:rsidRPr="00E94CA2" w:rsidRDefault="00DB179B" w:rsidP="001D6C2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3F349D">
        <w:rPr>
          <w:rFonts w:eastAsia="Times New Roman" w:cstheme="minorHAnsi"/>
          <w:lang w:eastAsia="pl-PL"/>
        </w:rPr>
        <w:t>Termin realizacji zamówienia do 22 tygodni</w:t>
      </w:r>
      <w:r w:rsidRPr="00E94CA2">
        <w:rPr>
          <w:rFonts w:eastAsia="Times New Roman" w:cstheme="minorHAnsi"/>
          <w:lang w:eastAsia="pl-PL"/>
        </w:rPr>
        <w:t xml:space="preserve"> </w:t>
      </w:r>
    </w:p>
    <w:p w14:paraId="5A4DDF18" w14:textId="77777777" w:rsidR="00E94CA2" w:rsidRDefault="00E94CA2" w:rsidP="00DB179B">
      <w:pPr>
        <w:rPr>
          <w:rFonts w:cstheme="minorHAnsi"/>
          <w:b/>
        </w:rPr>
      </w:pPr>
    </w:p>
    <w:p w14:paraId="2EC64D56" w14:textId="50976015" w:rsidR="00DB179B" w:rsidRPr="00E94CA2" w:rsidRDefault="00E94CA2" w:rsidP="00DB179B">
      <w:pPr>
        <w:rPr>
          <w:rFonts w:cstheme="minorHAnsi"/>
          <w:b/>
        </w:rPr>
      </w:pPr>
      <w:r>
        <w:rPr>
          <w:rFonts w:cstheme="minorHAnsi"/>
          <w:b/>
        </w:rPr>
        <w:t>K</w:t>
      </w:r>
      <w:r w:rsidR="00DB179B" w:rsidRPr="00E94CA2">
        <w:rPr>
          <w:rFonts w:cstheme="minorHAnsi"/>
          <w:b/>
        </w:rPr>
        <w:t>ryteria oceny ofert</w:t>
      </w:r>
    </w:p>
    <w:tbl>
      <w:tblPr>
        <w:tblStyle w:val="TableNormal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B179B" w:rsidRPr="00E94CA2" w14:paraId="77111C6C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09"/>
            </w:tblGrid>
            <w:tr w:rsidR="00DB179B" w:rsidRPr="00E94CA2" w14:paraId="54266D4C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89195A4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</w:tr>
          </w:tbl>
          <w:p w14:paraId="613BE9B4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4"/>
              <w:gridCol w:w="596"/>
            </w:tblGrid>
            <w:tr w:rsidR="00DB179B" w:rsidRPr="00E94CA2" w14:paraId="7047C7F4" w14:textId="77777777" w:rsidTr="00F57EAA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2818A36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proofErr w:type="spellStart"/>
                  <w:r w:rsidRPr="00E94CA2">
                    <w:rPr>
                      <w:rFonts w:cstheme="minorHAnsi"/>
                      <w:b/>
                      <w:bCs/>
                    </w:rPr>
                    <w:t>Kryterium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A02211" w14:textId="77777777" w:rsidR="00DB179B" w:rsidRPr="00E94CA2" w:rsidRDefault="00DB179B" w:rsidP="00F57EAA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E94CA2">
                    <w:rPr>
                      <w:rFonts w:cstheme="minorHAnsi"/>
                      <w:b/>
                      <w:bCs/>
                    </w:rPr>
                    <w:t>Waga</w:t>
                  </w:r>
                </w:p>
              </w:tc>
            </w:tr>
          </w:tbl>
          <w:p w14:paraId="0CCEDD6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5397EFB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9"/>
            </w:tblGrid>
            <w:tr w:rsidR="00DB179B" w:rsidRPr="00E94CA2" w14:paraId="4A42DB3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7C512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 xml:space="preserve">Cena </w:t>
                  </w:r>
                  <w:proofErr w:type="spellStart"/>
                  <w:r w:rsidRPr="00E94CA2">
                    <w:rPr>
                      <w:rFonts w:cstheme="minorHAnsi"/>
                    </w:rPr>
                    <w:t>brutto</w:t>
                  </w:r>
                  <w:proofErr w:type="spellEnd"/>
                </w:p>
              </w:tc>
            </w:tr>
          </w:tbl>
          <w:p w14:paraId="01E11C8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764AD33F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4106CC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2A63F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60%</w:t>
                  </w:r>
                </w:p>
              </w:tc>
            </w:tr>
          </w:tbl>
          <w:p w14:paraId="2F971F4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6885A38B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2"/>
            </w:tblGrid>
            <w:tr w:rsidR="00DB179B" w:rsidRPr="00E94CA2" w14:paraId="68CC2967" w14:textId="77777777" w:rsidTr="00F57EAA">
              <w:trPr>
                <w:tblCellSpacing w:w="15" w:type="dxa"/>
              </w:trPr>
              <w:tc>
                <w:tcPr>
                  <w:tcW w:w="2442" w:type="dxa"/>
                  <w:vAlign w:val="center"/>
                  <w:hideMark/>
                </w:tcPr>
                <w:p w14:paraId="06D3075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Parametry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techniczno-analityczne</w:t>
                  </w:r>
                  <w:proofErr w:type="spellEnd"/>
                </w:p>
              </w:tc>
            </w:tr>
          </w:tbl>
          <w:p w14:paraId="7B5D4E19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3D3CB8F0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58A14AF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48644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25%</w:t>
                  </w:r>
                </w:p>
              </w:tc>
            </w:tr>
          </w:tbl>
          <w:p w14:paraId="5D8F964B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3250A860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75"/>
              <w:gridCol w:w="456"/>
            </w:tblGrid>
            <w:tr w:rsidR="00DB179B" w:rsidRPr="00E94CA2" w14:paraId="22ECCC2A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E005B4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Fonts w:cstheme="minorHAnsi"/>
                    </w:rPr>
                    <w:t>Zielone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kryteria</w:t>
                  </w:r>
                  <w:proofErr w:type="spellEnd"/>
                  <w:r w:rsidRPr="00E94CA2">
                    <w:rPr>
                      <w:rFonts w:cstheme="minorHAnsi"/>
                    </w:rPr>
                    <w:t xml:space="preserve"> </w:t>
                  </w:r>
                  <w:proofErr w:type="spellStart"/>
                  <w:r w:rsidRPr="00E94CA2">
                    <w:rPr>
                      <w:rFonts w:cstheme="minorHAnsi"/>
                    </w:rPr>
                    <w:t>środowiskowo-eksploatacyjne</w:t>
                  </w:r>
                  <w:proofErr w:type="spellEnd"/>
                </w:p>
              </w:tc>
              <w:tc>
                <w:tcPr>
                  <w:tcW w:w="411" w:type="dxa"/>
                  <w:vAlign w:val="center"/>
                  <w:hideMark/>
                </w:tcPr>
                <w:p w14:paraId="5247AE0B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</w:tr>
          </w:tbl>
          <w:p w14:paraId="71613DD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456"/>
            </w:tblGrid>
            <w:tr w:rsidR="00DB179B" w:rsidRPr="00E94CA2" w14:paraId="4DBB703D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8F9351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135548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Fonts w:cstheme="minorHAnsi"/>
                    </w:rPr>
                    <w:t>15%</w:t>
                  </w:r>
                </w:p>
              </w:tc>
            </w:tr>
          </w:tbl>
          <w:p w14:paraId="2ACDC022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  <w:tr w:rsidR="00DB179B" w:rsidRPr="00E94CA2" w14:paraId="13A395BA" w14:textId="77777777" w:rsidTr="00F57EAA"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87"/>
            </w:tblGrid>
            <w:tr w:rsidR="00DB179B" w:rsidRPr="00E94CA2" w14:paraId="644572AB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B58446A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proofErr w:type="spellStart"/>
                  <w:r w:rsidRPr="00E94CA2">
                    <w:rPr>
                      <w:rStyle w:val="Nagwek3Znak"/>
                      <w:rFonts w:eastAsiaTheme="minorHAnsi" w:cstheme="minorHAnsi"/>
                      <w:sz w:val="22"/>
                      <w:szCs w:val="22"/>
                    </w:rPr>
                    <w:t>Razem</w:t>
                  </w:r>
                  <w:proofErr w:type="spellEnd"/>
                </w:p>
              </w:tc>
            </w:tr>
          </w:tbl>
          <w:p w14:paraId="574CF3FE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  <w:tc>
          <w:tcPr>
            <w:tcW w:w="4531" w:type="dxa"/>
          </w:tcPr>
          <w:tbl>
            <w:tblPr>
              <w:tblStyle w:val="TableNorma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570"/>
            </w:tblGrid>
            <w:tr w:rsidR="00DB179B" w:rsidRPr="00E94CA2" w14:paraId="4A52EACC" w14:textId="77777777" w:rsidTr="00F57EA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E394A5D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E6ABA0" w14:textId="77777777" w:rsidR="00DB179B" w:rsidRPr="00E94CA2" w:rsidRDefault="00DB179B" w:rsidP="00F57EAA">
                  <w:pPr>
                    <w:rPr>
                      <w:rFonts w:cstheme="minorHAnsi"/>
                    </w:rPr>
                  </w:pPr>
                  <w:r w:rsidRPr="00E94CA2">
                    <w:rPr>
                      <w:rStyle w:val="Pogrubienie"/>
                      <w:rFonts w:cstheme="minorHAnsi"/>
                    </w:rPr>
                    <w:t>100%</w:t>
                  </w:r>
                </w:p>
              </w:tc>
            </w:tr>
          </w:tbl>
          <w:p w14:paraId="6A066D7F" w14:textId="77777777" w:rsidR="00DB179B" w:rsidRPr="00E94CA2" w:rsidRDefault="00DB179B" w:rsidP="00F57EAA">
            <w:pPr>
              <w:rPr>
                <w:rFonts w:cstheme="minorHAnsi"/>
                <w:b/>
              </w:rPr>
            </w:pPr>
          </w:p>
        </w:tc>
      </w:tr>
    </w:tbl>
    <w:p w14:paraId="05B3CC54" w14:textId="77777777" w:rsidR="00DB179B" w:rsidRPr="00E94CA2" w:rsidRDefault="00DB179B" w:rsidP="00DB179B">
      <w:pPr>
        <w:rPr>
          <w:rFonts w:cstheme="minorHAnsi"/>
        </w:rPr>
      </w:pPr>
    </w:p>
    <w:p w14:paraId="5DB25821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Parametry techniczno-analityczne</w:t>
      </w:r>
    </w:p>
    <w:p w14:paraId="108029F4" w14:textId="5DDE5C3E" w:rsidR="00F771C7" w:rsidRPr="005F17D2" w:rsidRDefault="00F771C7" w:rsidP="00F771C7">
      <w:pPr>
        <w:numPr>
          <w:ilvl w:val="0"/>
          <w:numId w:val="33"/>
        </w:numPr>
        <w:spacing w:after="0" w:line="240" w:lineRule="auto"/>
        <w:rPr>
          <w:b/>
          <w:bCs/>
        </w:rPr>
      </w:pPr>
      <w:r w:rsidRPr="005F17D2">
        <w:rPr>
          <w:b/>
          <w:bCs/>
        </w:rPr>
        <w:t>Możliwość rozbudowy systemu o dodatkowe lasery wzbudzające do analiz FLIM bez wymiany głowicy skanującej:</w:t>
      </w:r>
    </w:p>
    <w:p w14:paraId="1FD62765" w14:textId="77777777" w:rsidR="00F771C7" w:rsidRPr="00F771C7" w:rsidRDefault="00F771C7" w:rsidP="00F771C7">
      <w:pPr>
        <w:numPr>
          <w:ilvl w:val="1"/>
          <w:numId w:val="33"/>
        </w:numPr>
        <w:spacing w:after="0" w:line="240" w:lineRule="auto"/>
      </w:pPr>
      <w:r w:rsidRPr="00F771C7">
        <w:t>TAK – 10 pkt</w:t>
      </w:r>
    </w:p>
    <w:p w14:paraId="75B2188B" w14:textId="77777777" w:rsidR="00F771C7" w:rsidRPr="00F771C7" w:rsidRDefault="00F771C7" w:rsidP="00F771C7">
      <w:pPr>
        <w:numPr>
          <w:ilvl w:val="1"/>
          <w:numId w:val="33"/>
        </w:numPr>
        <w:spacing w:after="0" w:line="240" w:lineRule="auto"/>
      </w:pPr>
      <w:r w:rsidRPr="00F771C7">
        <w:t>NIE – 0 pkt</w:t>
      </w:r>
    </w:p>
    <w:p w14:paraId="0966D038" w14:textId="77777777" w:rsidR="00921CCD" w:rsidRPr="005F17D2" w:rsidRDefault="00921CCD" w:rsidP="00921CCD">
      <w:pPr>
        <w:numPr>
          <w:ilvl w:val="0"/>
          <w:numId w:val="33"/>
        </w:numPr>
        <w:spacing w:after="0" w:line="240" w:lineRule="auto"/>
        <w:rPr>
          <w:b/>
          <w:bCs/>
        </w:rPr>
      </w:pPr>
      <w:r w:rsidRPr="005F17D2">
        <w:rPr>
          <w:b/>
          <w:bCs/>
        </w:rPr>
        <w:t xml:space="preserve">Możliwość uzyskania rozdzielczości poniżej 100 </w:t>
      </w:r>
      <w:proofErr w:type="spellStart"/>
      <w:r w:rsidRPr="005F17D2">
        <w:rPr>
          <w:b/>
          <w:bCs/>
        </w:rPr>
        <w:t>nm</w:t>
      </w:r>
      <w:proofErr w:type="spellEnd"/>
      <w:r w:rsidRPr="005F17D2">
        <w:rPr>
          <w:b/>
          <w:bCs/>
        </w:rPr>
        <w:t xml:space="preserve"> metodą zintegrowaną z mikroskopem konfokalnym bez konieczności rozbudowy systemu.</w:t>
      </w:r>
    </w:p>
    <w:p w14:paraId="484EBA2D" w14:textId="77777777" w:rsidR="00921CCD" w:rsidRPr="00921CCD" w:rsidRDefault="00921CCD" w:rsidP="00921CCD">
      <w:pPr>
        <w:numPr>
          <w:ilvl w:val="1"/>
          <w:numId w:val="33"/>
        </w:numPr>
        <w:spacing w:after="0" w:line="240" w:lineRule="auto"/>
      </w:pPr>
      <w:r w:rsidRPr="00921CCD">
        <w:t xml:space="preserve">TAK,  ≤ 100 </w:t>
      </w:r>
      <w:proofErr w:type="spellStart"/>
      <w:r w:rsidRPr="00921CCD">
        <w:t>nm</w:t>
      </w:r>
      <w:proofErr w:type="spellEnd"/>
      <w:r w:rsidRPr="00921CCD">
        <w:t xml:space="preserve"> – 15 pkt </w:t>
      </w:r>
    </w:p>
    <w:p w14:paraId="0F493548" w14:textId="77777777" w:rsidR="00921CCD" w:rsidRPr="00921CCD" w:rsidRDefault="00921CCD" w:rsidP="00921CCD">
      <w:pPr>
        <w:numPr>
          <w:ilvl w:val="1"/>
          <w:numId w:val="33"/>
        </w:numPr>
        <w:spacing w:after="0" w:line="240" w:lineRule="auto"/>
      </w:pPr>
      <w:r w:rsidRPr="00921CCD">
        <w:t>NIE – 0 pkt</w:t>
      </w:r>
    </w:p>
    <w:p w14:paraId="72471FBD" w14:textId="2C73830D" w:rsidR="00CC06F3" w:rsidRPr="00230ADD" w:rsidRDefault="00CC06F3" w:rsidP="00921CCD"/>
    <w:p w14:paraId="12BCC5A5" w14:textId="77777777" w:rsidR="00DB179B" w:rsidRPr="00E94CA2" w:rsidRDefault="00DB179B" w:rsidP="00DB179B">
      <w:pPr>
        <w:rPr>
          <w:rFonts w:cstheme="minorHAnsi"/>
          <w:b/>
          <w:bCs/>
          <w:u w:val="single"/>
        </w:rPr>
      </w:pPr>
      <w:r w:rsidRPr="00E94CA2">
        <w:rPr>
          <w:rFonts w:cstheme="minorHAnsi"/>
          <w:b/>
          <w:bCs/>
          <w:u w:val="single"/>
        </w:rPr>
        <w:t>Zielone kryteria środowiskowo-eksploatacyjne</w:t>
      </w:r>
    </w:p>
    <w:p w14:paraId="6EF7174A" w14:textId="77777777" w:rsidR="00DB179B" w:rsidRPr="00E94CA2" w:rsidRDefault="00DB179B" w:rsidP="00DB179B">
      <w:pPr>
        <w:pStyle w:val="Akapitzlist"/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lastRenderedPageBreak/>
        <w:t>Efektywność energetyczna systemu — 5 pkt</w:t>
      </w:r>
      <w:r w:rsidRPr="00E94CA2">
        <w:rPr>
          <w:rFonts w:eastAsia="Times New Roman" w:cstheme="minorHAnsi"/>
          <w:lang w:eastAsia="pl-PL"/>
        </w:rPr>
        <w:br/>
        <w:t>Punkty zostaną przyznane na podstawie deklarowanego łącznego zapotrzebowania na moc elektryczną głównych elementów systemu. Najniższa wartość otrzyma 5 pkt, pozostałe proporcjonalnie według wzoru:</w:t>
      </w:r>
      <w:r w:rsidRPr="00E94CA2">
        <w:rPr>
          <w:rFonts w:eastAsia="Times New Roman" w:cstheme="minorHAnsi"/>
          <w:lang w:eastAsia="pl-PL"/>
        </w:rPr>
        <w:br/>
      </w:r>
      <w:r w:rsidRPr="00E94CA2">
        <w:rPr>
          <w:rFonts w:eastAsia="Times New Roman" w:cstheme="minorHAnsi"/>
          <w:b/>
          <w:bCs/>
          <w:lang w:eastAsia="pl-PL"/>
        </w:rPr>
        <w:t xml:space="preserve">P = 5 × Emin / </w:t>
      </w:r>
      <w:proofErr w:type="spellStart"/>
      <w:r w:rsidRPr="00E94CA2">
        <w:rPr>
          <w:rFonts w:eastAsia="Times New Roman" w:cstheme="minorHAnsi"/>
          <w:b/>
          <w:bCs/>
          <w:lang w:eastAsia="pl-PL"/>
        </w:rPr>
        <w:t>Ebad</w:t>
      </w:r>
      <w:proofErr w:type="spellEnd"/>
      <w:r w:rsidRPr="00E94CA2">
        <w:rPr>
          <w:rFonts w:eastAsia="Times New Roman" w:cstheme="minorHAnsi"/>
          <w:lang w:eastAsia="pl-PL"/>
        </w:rPr>
        <w:t xml:space="preserve">. </w:t>
      </w:r>
    </w:p>
    <w:p w14:paraId="3BBDA1BC" w14:textId="77777777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Serwisowalność i dostępność części — 5 pkt</w:t>
      </w:r>
      <w:r w:rsidRPr="00E94CA2">
        <w:rPr>
          <w:rFonts w:eastAsia="Times New Roman" w:cstheme="minorHAnsi"/>
          <w:lang w:eastAsia="pl-PL"/>
        </w:rPr>
        <w:br/>
        <w:t>5 pkt — dostępność części i wsparcia przez co najmniej 13 lat;</w:t>
      </w:r>
      <w:r w:rsidRPr="00E94CA2">
        <w:rPr>
          <w:rFonts w:eastAsia="Times New Roman" w:cstheme="minorHAnsi"/>
          <w:lang w:eastAsia="pl-PL"/>
        </w:rPr>
        <w:br/>
        <w:t>3 pkt — dostępność przez co najmniej 12 lat;</w:t>
      </w:r>
      <w:r w:rsidRPr="00E94CA2">
        <w:rPr>
          <w:rFonts w:eastAsia="Times New Roman" w:cstheme="minorHAnsi"/>
          <w:lang w:eastAsia="pl-PL"/>
        </w:rPr>
        <w:br/>
        <w:t>1 pkt — dostępność przez co najmniej 11 lat;</w:t>
      </w:r>
      <w:r w:rsidRPr="00E94CA2">
        <w:rPr>
          <w:rFonts w:eastAsia="Times New Roman" w:cstheme="minorHAnsi"/>
          <w:lang w:eastAsia="pl-PL"/>
        </w:rPr>
        <w:br/>
        <w:t xml:space="preserve">0 pkt — dostępność przez co najmniej 10 lat. </w:t>
      </w:r>
    </w:p>
    <w:p w14:paraId="74F28EBF" w14:textId="565A428A" w:rsidR="00DB179B" w:rsidRPr="00E94CA2" w:rsidRDefault="00DB179B" w:rsidP="00DB179B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E94CA2">
        <w:rPr>
          <w:rFonts w:eastAsia="Times New Roman" w:cstheme="minorHAnsi"/>
          <w:b/>
          <w:bCs/>
          <w:lang w:eastAsia="pl-PL"/>
        </w:rPr>
        <w:t>Modularność i rozbudowywalność — 5 pkt</w:t>
      </w:r>
      <w:r w:rsidRPr="00E94CA2">
        <w:rPr>
          <w:rFonts w:eastAsia="Times New Roman" w:cstheme="minorHAnsi"/>
          <w:lang w:eastAsia="pl-PL"/>
        </w:rPr>
        <w:br/>
        <w:t>5 pkt — możliwość rozbudowy/wymiany co najmniej trzech typów modułów funkcjonalnych bez wymiany całego systemu;</w:t>
      </w:r>
      <w:r w:rsidRPr="00E94CA2">
        <w:rPr>
          <w:rFonts w:eastAsia="Times New Roman" w:cstheme="minorHAnsi"/>
          <w:lang w:eastAsia="pl-PL"/>
        </w:rPr>
        <w:br/>
      </w:r>
      <w:r w:rsidR="00DF10FD">
        <w:rPr>
          <w:rFonts w:eastAsia="Times New Roman" w:cstheme="minorHAnsi"/>
          <w:lang w:eastAsia="pl-PL"/>
        </w:rPr>
        <w:t>3</w:t>
      </w:r>
      <w:r w:rsidRPr="00E94CA2">
        <w:rPr>
          <w:rFonts w:eastAsia="Times New Roman" w:cstheme="minorHAnsi"/>
          <w:lang w:eastAsia="pl-PL"/>
        </w:rPr>
        <w:t xml:space="preserve"> pkt — możliwość rozbudowy/wymiany dwóch typów modułów;</w:t>
      </w:r>
      <w:r w:rsidRPr="00E94CA2">
        <w:rPr>
          <w:rFonts w:eastAsia="Times New Roman" w:cstheme="minorHAnsi"/>
          <w:lang w:eastAsia="pl-PL"/>
        </w:rPr>
        <w:br/>
        <w:t>1 pkt — możliwość rozbudowy/wymiany jednego typu modułu;</w:t>
      </w:r>
      <w:r w:rsidRPr="00E94CA2">
        <w:rPr>
          <w:rFonts w:eastAsia="Times New Roman" w:cstheme="minorHAnsi"/>
          <w:lang w:eastAsia="pl-PL"/>
        </w:rPr>
        <w:br/>
        <w:t>0 pkt — brak udokumentowanej modularności.</w:t>
      </w:r>
    </w:p>
    <w:p w14:paraId="7818C53C" w14:textId="77777777" w:rsidR="000935B5" w:rsidRDefault="000935B5" w:rsidP="00DB179B">
      <w:pPr>
        <w:ind w:left="720" w:hanging="360"/>
        <w:jc w:val="both"/>
        <w:rPr>
          <w:b/>
          <w:bCs/>
          <w:sz w:val="24"/>
          <w:szCs w:val="24"/>
        </w:rPr>
      </w:pPr>
    </w:p>
    <w:sectPr w:rsidR="000935B5" w:rsidSect="00DA5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B6759" w14:textId="77777777" w:rsidR="0009266E" w:rsidRDefault="0009266E" w:rsidP="00587451">
      <w:pPr>
        <w:spacing w:after="0" w:line="240" w:lineRule="auto"/>
      </w:pPr>
      <w:r>
        <w:separator/>
      </w:r>
    </w:p>
  </w:endnote>
  <w:endnote w:type="continuationSeparator" w:id="0">
    <w:p w14:paraId="22ABE44D" w14:textId="77777777" w:rsidR="0009266E" w:rsidRDefault="0009266E" w:rsidP="0058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DBED2" w14:textId="77777777" w:rsidR="00587451" w:rsidRDefault="005874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F2C9A" w14:textId="77777777" w:rsidR="00587451" w:rsidRDefault="005874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8ACF" w14:textId="77777777" w:rsidR="00587451" w:rsidRDefault="005874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08755" w14:textId="77777777" w:rsidR="0009266E" w:rsidRDefault="0009266E" w:rsidP="00587451">
      <w:pPr>
        <w:spacing w:after="0" w:line="240" w:lineRule="auto"/>
      </w:pPr>
      <w:r>
        <w:separator/>
      </w:r>
    </w:p>
  </w:footnote>
  <w:footnote w:type="continuationSeparator" w:id="0">
    <w:p w14:paraId="3C86C4C1" w14:textId="77777777" w:rsidR="0009266E" w:rsidRDefault="0009266E" w:rsidP="0058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9E7F" w14:textId="77777777" w:rsidR="00587451" w:rsidRDefault="00587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CF677" w14:textId="57FB1F3C" w:rsidR="00587451" w:rsidRDefault="00587451">
    <w:pPr>
      <w:pStyle w:val="Nagwek"/>
    </w:pPr>
    <w:r>
      <w:rPr>
        <w:noProof/>
      </w:rPr>
      <w:drawing>
        <wp:inline distT="0" distB="0" distL="0" distR="0" wp14:anchorId="57EA1A2F" wp14:editId="759D2FF7">
          <wp:extent cx="5760720" cy="561975"/>
          <wp:effectExtent l="0" t="0" r="0" b="9525"/>
          <wp:docPr id="583059178" name="Obraz 872524213" descr="Obraz zawierający zrzut ekranu, Wielobarwność, Prostokąt, kwadra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872524213" descr="Obraz zawierający zrzut ekranu, Wielobarwność, Prostokąt, kwadra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1063" b="16370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C3FDCA" w14:textId="77777777" w:rsidR="00DA5C31" w:rsidRDefault="00DA5C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4B1AF" w14:textId="77777777" w:rsidR="00587451" w:rsidRDefault="005874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0ED9"/>
    <w:multiLevelType w:val="hybridMultilevel"/>
    <w:tmpl w:val="7936ACEC"/>
    <w:lvl w:ilvl="0" w:tplc="530203B2">
      <w:start w:val="1"/>
      <w:numFmt w:val="decimal"/>
      <w:lvlText w:val="%1."/>
      <w:lvlJc w:val="left"/>
      <w:pPr>
        <w:ind w:left="325" w:hanging="21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5444A8C">
      <w:numFmt w:val="bullet"/>
      <w:lvlText w:val="•"/>
      <w:lvlJc w:val="left"/>
      <w:pPr>
        <w:ind w:left="1092" w:hanging="219"/>
      </w:pPr>
      <w:rPr>
        <w:rFonts w:hint="default"/>
        <w:lang w:val="pl-PL" w:eastAsia="en-US" w:bidi="ar-SA"/>
      </w:rPr>
    </w:lvl>
    <w:lvl w:ilvl="2" w:tplc="718A493C">
      <w:numFmt w:val="bullet"/>
      <w:lvlText w:val="•"/>
      <w:lvlJc w:val="left"/>
      <w:pPr>
        <w:ind w:left="1864" w:hanging="219"/>
      </w:pPr>
      <w:rPr>
        <w:rFonts w:hint="default"/>
        <w:lang w:val="pl-PL" w:eastAsia="en-US" w:bidi="ar-SA"/>
      </w:rPr>
    </w:lvl>
    <w:lvl w:ilvl="3" w:tplc="D5A2245E">
      <w:numFmt w:val="bullet"/>
      <w:lvlText w:val="•"/>
      <w:lvlJc w:val="left"/>
      <w:pPr>
        <w:ind w:left="2636" w:hanging="219"/>
      </w:pPr>
      <w:rPr>
        <w:rFonts w:hint="default"/>
        <w:lang w:val="pl-PL" w:eastAsia="en-US" w:bidi="ar-SA"/>
      </w:rPr>
    </w:lvl>
    <w:lvl w:ilvl="4" w:tplc="6F0E0C62">
      <w:numFmt w:val="bullet"/>
      <w:lvlText w:val="•"/>
      <w:lvlJc w:val="left"/>
      <w:pPr>
        <w:ind w:left="3408" w:hanging="219"/>
      </w:pPr>
      <w:rPr>
        <w:rFonts w:hint="default"/>
        <w:lang w:val="pl-PL" w:eastAsia="en-US" w:bidi="ar-SA"/>
      </w:rPr>
    </w:lvl>
    <w:lvl w:ilvl="5" w:tplc="6534FD8A">
      <w:numFmt w:val="bullet"/>
      <w:lvlText w:val="•"/>
      <w:lvlJc w:val="left"/>
      <w:pPr>
        <w:ind w:left="4181" w:hanging="219"/>
      </w:pPr>
      <w:rPr>
        <w:rFonts w:hint="default"/>
        <w:lang w:val="pl-PL" w:eastAsia="en-US" w:bidi="ar-SA"/>
      </w:rPr>
    </w:lvl>
    <w:lvl w:ilvl="6" w:tplc="52C48E0A">
      <w:numFmt w:val="bullet"/>
      <w:lvlText w:val="•"/>
      <w:lvlJc w:val="left"/>
      <w:pPr>
        <w:ind w:left="4953" w:hanging="219"/>
      </w:pPr>
      <w:rPr>
        <w:rFonts w:hint="default"/>
        <w:lang w:val="pl-PL" w:eastAsia="en-US" w:bidi="ar-SA"/>
      </w:rPr>
    </w:lvl>
    <w:lvl w:ilvl="7" w:tplc="B3487116">
      <w:numFmt w:val="bullet"/>
      <w:lvlText w:val="•"/>
      <w:lvlJc w:val="left"/>
      <w:pPr>
        <w:ind w:left="5725" w:hanging="219"/>
      </w:pPr>
      <w:rPr>
        <w:rFonts w:hint="default"/>
        <w:lang w:val="pl-PL" w:eastAsia="en-US" w:bidi="ar-SA"/>
      </w:rPr>
    </w:lvl>
    <w:lvl w:ilvl="8" w:tplc="B69E590A">
      <w:numFmt w:val="bullet"/>
      <w:lvlText w:val="•"/>
      <w:lvlJc w:val="left"/>
      <w:pPr>
        <w:ind w:left="6497" w:hanging="219"/>
      </w:pPr>
      <w:rPr>
        <w:rFonts w:hint="default"/>
        <w:lang w:val="pl-PL" w:eastAsia="en-US" w:bidi="ar-SA"/>
      </w:rPr>
    </w:lvl>
  </w:abstractNum>
  <w:abstractNum w:abstractNumId="1" w15:restartNumberingAfterBreak="0">
    <w:nsid w:val="06E95475"/>
    <w:multiLevelType w:val="hybridMultilevel"/>
    <w:tmpl w:val="7DD48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10"/>
    <w:multiLevelType w:val="hybridMultilevel"/>
    <w:tmpl w:val="5132715A"/>
    <w:lvl w:ilvl="0" w:tplc="F212602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HAnsi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96A7C"/>
    <w:multiLevelType w:val="multilevel"/>
    <w:tmpl w:val="F03830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4F08EB"/>
    <w:multiLevelType w:val="hybridMultilevel"/>
    <w:tmpl w:val="958EE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2404C"/>
    <w:multiLevelType w:val="multilevel"/>
    <w:tmpl w:val="B47E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D4BBB"/>
    <w:multiLevelType w:val="multilevel"/>
    <w:tmpl w:val="0A2A71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37474"/>
    <w:multiLevelType w:val="hybridMultilevel"/>
    <w:tmpl w:val="88908CAE"/>
    <w:lvl w:ilvl="0" w:tplc="CC92A7C2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8" w15:restartNumberingAfterBreak="0">
    <w:nsid w:val="24935FF1"/>
    <w:multiLevelType w:val="multilevel"/>
    <w:tmpl w:val="FA704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6D418A"/>
    <w:multiLevelType w:val="multilevel"/>
    <w:tmpl w:val="3AB82F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9C0717"/>
    <w:multiLevelType w:val="hybridMultilevel"/>
    <w:tmpl w:val="953EDB40"/>
    <w:lvl w:ilvl="0" w:tplc="CB227182">
      <w:start w:val="1"/>
      <w:numFmt w:val="bullet"/>
      <w:pStyle w:val="Nad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E5DB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E496D01"/>
    <w:multiLevelType w:val="multilevel"/>
    <w:tmpl w:val="F64A0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3F234B"/>
    <w:multiLevelType w:val="multilevel"/>
    <w:tmpl w:val="63DED3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14421B"/>
    <w:multiLevelType w:val="hybridMultilevel"/>
    <w:tmpl w:val="B914DE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A27885"/>
    <w:multiLevelType w:val="hybridMultilevel"/>
    <w:tmpl w:val="B9F68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25A34"/>
    <w:multiLevelType w:val="multilevel"/>
    <w:tmpl w:val="AFF85B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A434A8"/>
    <w:multiLevelType w:val="multilevel"/>
    <w:tmpl w:val="942244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D924AE"/>
    <w:multiLevelType w:val="multilevel"/>
    <w:tmpl w:val="AFF0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51289B"/>
    <w:multiLevelType w:val="hybridMultilevel"/>
    <w:tmpl w:val="E5DCE734"/>
    <w:lvl w:ilvl="0" w:tplc="04150001">
      <w:start w:val="1"/>
      <w:numFmt w:val="bullet"/>
      <w:pStyle w:val="Listapunktowan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213FA6"/>
    <w:multiLevelType w:val="multilevel"/>
    <w:tmpl w:val="2064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E4B16"/>
    <w:multiLevelType w:val="hybridMultilevel"/>
    <w:tmpl w:val="2E6A0AC0"/>
    <w:lvl w:ilvl="0" w:tplc="A27AC14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F67ED0"/>
    <w:multiLevelType w:val="hybridMultilevel"/>
    <w:tmpl w:val="6DE08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566521"/>
    <w:multiLevelType w:val="multilevel"/>
    <w:tmpl w:val="EFA6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811FCC"/>
    <w:multiLevelType w:val="multilevel"/>
    <w:tmpl w:val="F8625E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104B0"/>
    <w:multiLevelType w:val="multilevel"/>
    <w:tmpl w:val="945E550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BD060E7"/>
    <w:multiLevelType w:val="multilevel"/>
    <w:tmpl w:val="B0E4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D360761"/>
    <w:multiLevelType w:val="multilevel"/>
    <w:tmpl w:val="AD96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A47E8E"/>
    <w:multiLevelType w:val="multilevel"/>
    <w:tmpl w:val="DD663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8A267F"/>
    <w:multiLevelType w:val="hybridMultilevel"/>
    <w:tmpl w:val="181C4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AA5F92"/>
    <w:multiLevelType w:val="multilevel"/>
    <w:tmpl w:val="4A589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7F6CC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83159706">
    <w:abstractNumId w:val="1"/>
  </w:num>
  <w:num w:numId="2" w16cid:durableId="751202139">
    <w:abstractNumId w:val="2"/>
  </w:num>
  <w:num w:numId="3" w16cid:durableId="487862517">
    <w:abstractNumId w:val="0"/>
  </w:num>
  <w:num w:numId="4" w16cid:durableId="1578395588">
    <w:abstractNumId w:val="16"/>
  </w:num>
  <w:num w:numId="5" w16cid:durableId="375007477">
    <w:abstractNumId w:val="20"/>
  </w:num>
  <w:num w:numId="6" w16cid:durableId="297616867">
    <w:abstractNumId w:val="23"/>
  </w:num>
  <w:num w:numId="7" w16cid:durableId="1671565193">
    <w:abstractNumId w:val="30"/>
  </w:num>
  <w:num w:numId="8" w16cid:durableId="1418748807">
    <w:abstractNumId w:val="10"/>
  </w:num>
  <w:num w:numId="9" w16cid:durableId="1928229803">
    <w:abstractNumId w:val="7"/>
  </w:num>
  <w:num w:numId="10" w16cid:durableId="1589119942">
    <w:abstractNumId w:val="15"/>
  </w:num>
  <w:num w:numId="11" w16cid:durableId="1579166566">
    <w:abstractNumId w:val="22"/>
  </w:num>
  <w:num w:numId="12" w16cid:durableId="1502818372">
    <w:abstractNumId w:val="8"/>
  </w:num>
  <w:num w:numId="13" w16cid:durableId="191841533">
    <w:abstractNumId w:val="13"/>
  </w:num>
  <w:num w:numId="14" w16cid:durableId="1958636846">
    <w:abstractNumId w:val="18"/>
  </w:num>
  <w:num w:numId="15" w16cid:durableId="2006057107">
    <w:abstractNumId w:val="25"/>
  </w:num>
  <w:num w:numId="16" w16cid:durableId="1867864568">
    <w:abstractNumId w:val="29"/>
  </w:num>
  <w:num w:numId="17" w16cid:durableId="1626233077">
    <w:abstractNumId w:val="17"/>
  </w:num>
  <w:num w:numId="18" w16cid:durableId="630552773">
    <w:abstractNumId w:val="3"/>
  </w:num>
  <w:num w:numId="19" w16cid:durableId="2054036470">
    <w:abstractNumId w:val="6"/>
  </w:num>
  <w:num w:numId="20" w16cid:durableId="1153375538">
    <w:abstractNumId w:val="9"/>
  </w:num>
  <w:num w:numId="21" w16cid:durableId="1283922503">
    <w:abstractNumId w:val="19"/>
  </w:num>
  <w:num w:numId="22" w16cid:durableId="1967155737">
    <w:abstractNumId w:val="12"/>
  </w:num>
  <w:num w:numId="23" w16cid:durableId="838353751">
    <w:abstractNumId w:val="31"/>
  </w:num>
  <w:num w:numId="24" w16cid:durableId="910581309">
    <w:abstractNumId w:val="27"/>
  </w:num>
  <w:num w:numId="25" w16cid:durableId="768817338">
    <w:abstractNumId w:val="32"/>
  </w:num>
  <w:num w:numId="26" w16cid:durableId="1957443269">
    <w:abstractNumId w:val="26"/>
  </w:num>
  <w:num w:numId="27" w16cid:durableId="499614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06270571">
    <w:abstractNumId w:val="24"/>
  </w:num>
  <w:num w:numId="29" w16cid:durableId="790589158">
    <w:abstractNumId w:val="28"/>
  </w:num>
  <w:num w:numId="30" w16cid:durableId="488446330">
    <w:abstractNumId w:val="5"/>
  </w:num>
  <w:num w:numId="31" w16cid:durableId="551843971">
    <w:abstractNumId w:val="21"/>
  </w:num>
  <w:num w:numId="32" w16cid:durableId="1918779913">
    <w:abstractNumId w:val="11"/>
  </w:num>
  <w:num w:numId="33" w16cid:durableId="61467479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677"/>
    <w:rsid w:val="000132E7"/>
    <w:rsid w:val="0006277D"/>
    <w:rsid w:val="0007281D"/>
    <w:rsid w:val="000865B6"/>
    <w:rsid w:val="0009266E"/>
    <w:rsid w:val="000935B5"/>
    <w:rsid w:val="000A3F69"/>
    <w:rsid w:val="000A4446"/>
    <w:rsid w:val="000D2895"/>
    <w:rsid w:val="000E4265"/>
    <w:rsid w:val="000F6AEA"/>
    <w:rsid w:val="00101018"/>
    <w:rsid w:val="00120090"/>
    <w:rsid w:val="00120FA9"/>
    <w:rsid w:val="001215A0"/>
    <w:rsid w:val="00124FAA"/>
    <w:rsid w:val="00150F8D"/>
    <w:rsid w:val="00152A8A"/>
    <w:rsid w:val="0017288F"/>
    <w:rsid w:val="001842AD"/>
    <w:rsid w:val="00190C45"/>
    <w:rsid w:val="001B1E99"/>
    <w:rsid w:val="001D6C2D"/>
    <w:rsid w:val="001E0166"/>
    <w:rsid w:val="001E56A7"/>
    <w:rsid w:val="001F257F"/>
    <w:rsid w:val="002033C0"/>
    <w:rsid w:val="00204268"/>
    <w:rsid w:val="0022719E"/>
    <w:rsid w:val="0023072D"/>
    <w:rsid w:val="00231645"/>
    <w:rsid w:val="00255078"/>
    <w:rsid w:val="002634D1"/>
    <w:rsid w:val="00267A9C"/>
    <w:rsid w:val="002A4EED"/>
    <w:rsid w:val="002B5C4B"/>
    <w:rsid w:val="002B688F"/>
    <w:rsid w:val="002C7A80"/>
    <w:rsid w:val="002D162C"/>
    <w:rsid w:val="002E6099"/>
    <w:rsid w:val="002F3831"/>
    <w:rsid w:val="0031119F"/>
    <w:rsid w:val="003132BA"/>
    <w:rsid w:val="00316E05"/>
    <w:rsid w:val="00324902"/>
    <w:rsid w:val="003249BE"/>
    <w:rsid w:val="00337A11"/>
    <w:rsid w:val="00340410"/>
    <w:rsid w:val="00345920"/>
    <w:rsid w:val="00354C08"/>
    <w:rsid w:val="0036734E"/>
    <w:rsid w:val="003A0723"/>
    <w:rsid w:val="003A621A"/>
    <w:rsid w:val="003B2FB2"/>
    <w:rsid w:val="003B3FA6"/>
    <w:rsid w:val="003B771D"/>
    <w:rsid w:val="003E0159"/>
    <w:rsid w:val="003F349D"/>
    <w:rsid w:val="00404AA6"/>
    <w:rsid w:val="00457092"/>
    <w:rsid w:val="00462991"/>
    <w:rsid w:val="00463B3A"/>
    <w:rsid w:val="00472E11"/>
    <w:rsid w:val="00482905"/>
    <w:rsid w:val="00496BF0"/>
    <w:rsid w:val="0049732B"/>
    <w:rsid w:val="0049789D"/>
    <w:rsid w:val="004C0A9C"/>
    <w:rsid w:val="004D1CC5"/>
    <w:rsid w:val="004E1AB8"/>
    <w:rsid w:val="004E1F72"/>
    <w:rsid w:val="004E792D"/>
    <w:rsid w:val="00505F8E"/>
    <w:rsid w:val="00514E35"/>
    <w:rsid w:val="005330CA"/>
    <w:rsid w:val="00587451"/>
    <w:rsid w:val="005916D3"/>
    <w:rsid w:val="0059643C"/>
    <w:rsid w:val="005B7931"/>
    <w:rsid w:val="005E5BB8"/>
    <w:rsid w:val="005F00EE"/>
    <w:rsid w:val="006363A9"/>
    <w:rsid w:val="00636520"/>
    <w:rsid w:val="00645DD2"/>
    <w:rsid w:val="00663CD3"/>
    <w:rsid w:val="006819BB"/>
    <w:rsid w:val="006A3AAC"/>
    <w:rsid w:val="006C33A8"/>
    <w:rsid w:val="006D75B0"/>
    <w:rsid w:val="006E729F"/>
    <w:rsid w:val="00711539"/>
    <w:rsid w:val="00716828"/>
    <w:rsid w:val="00723DAA"/>
    <w:rsid w:val="00725929"/>
    <w:rsid w:val="00744BEC"/>
    <w:rsid w:val="0075512D"/>
    <w:rsid w:val="00760481"/>
    <w:rsid w:val="00780D33"/>
    <w:rsid w:val="007A5560"/>
    <w:rsid w:val="007A6816"/>
    <w:rsid w:val="007F098C"/>
    <w:rsid w:val="007F784C"/>
    <w:rsid w:val="00806458"/>
    <w:rsid w:val="00821412"/>
    <w:rsid w:val="00856FE4"/>
    <w:rsid w:val="00872E70"/>
    <w:rsid w:val="009026BD"/>
    <w:rsid w:val="00903243"/>
    <w:rsid w:val="00907CCD"/>
    <w:rsid w:val="00911A42"/>
    <w:rsid w:val="00921AE3"/>
    <w:rsid w:val="00921CCD"/>
    <w:rsid w:val="00921F36"/>
    <w:rsid w:val="0093193B"/>
    <w:rsid w:val="0094529F"/>
    <w:rsid w:val="009517DD"/>
    <w:rsid w:val="00966C4B"/>
    <w:rsid w:val="00985EDE"/>
    <w:rsid w:val="009906A9"/>
    <w:rsid w:val="00995B7F"/>
    <w:rsid w:val="009D233E"/>
    <w:rsid w:val="009D2FDD"/>
    <w:rsid w:val="009E1B3C"/>
    <w:rsid w:val="009F4D53"/>
    <w:rsid w:val="00A5759B"/>
    <w:rsid w:val="00A709A9"/>
    <w:rsid w:val="00A87BCD"/>
    <w:rsid w:val="00A93DF0"/>
    <w:rsid w:val="00AD08AD"/>
    <w:rsid w:val="00B21736"/>
    <w:rsid w:val="00B274AE"/>
    <w:rsid w:val="00B3567F"/>
    <w:rsid w:val="00B37197"/>
    <w:rsid w:val="00B64252"/>
    <w:rsid w:val="00B95B0D"/>
    <w:rsid w:val="00BA2F3D"/>
    <w:rsid w:val="00BD13B7"/>
    <w:rsid w:val="00BD7281"/>
    <w:rsid w:val="00C10AE1"/>
    <w:rsid w:val="00C239C9"/>
    <w:rsid w:val="00C25C1A"/>
    <w:rsid w:val="00C44AEC"/>
    <w:rsid w:val="00C71677"/>
    <w:rsid w:val="00C8203E"/>
    <w:rsid w:val="00C842BB"/>
    <w:rsid w:val="00C84674"/>
    <w:rsid w:val="00CB04E2"/>
    <w:rsid w:val="00CB645C"/>
    <w:rsid w:val="00CC06F3"/>
    <w:rsid w:val="00CD10B4"/>
    <w:rsid w:val="00CD4631"/>
    <w:rsid w:val="00CD683F"/>
    <w:rsid w:val="00D132CA"/>
    <w:rsid w:val="00D1747B"/>
    <w:rsid w:val="00D66167"/>
    <w:rsid w:val="00DA5C31"/>
    <w:rsid w:val="00DB179B"/>
    <w:rsid w:val="00DC4488"/>
    <w:rsid w:val="00DD46D3"/>
    <w:rsid w:val="00DE5163"/>
    <w:rsid w:val="00DF10FD"/>
    <w:rsid w:val="00E01826"/>
    <w:rsid w:val="00E15219"/>
    <w:rsid w:val="00E17632"/>
    <w:rsid w:val="00E24B75"/>
    <w:rsid w:val="00E415A1"/>
    <w:rsid w:val="00E57BC0"/>
    <w:rsid w:val="00E643B6"/>
    <w:rsid w:val="00E76D8E"/>
    <w:rsid w:val="00E9195A"/>
    <w:rsid w:val="00E941B1"/>
    <w:rsid w:val="00E94CA2"/>
    <w:rsid w:val="00EE769F"/>
    <w:rsid w:val="00F06ED8"/>
    <w:rsid w:val="00F2094E"/>
    <w:rsid w:val="00F4293B"/>
    <w:rsid w:val="00F51470"/>
    <w:rsid w:val="00F6478B"/>
    <w:rsid w:val="00F771C7"/>
    <w:rsid w:val="00F838DB"/>
    <w:rsid w:val="00F91DA9"/>
    <w:rsid w:val="00FA04AE"/>
    <w:rsid w:val="00FD0E53"/>
    <w:rsid w:val="00FD1680"/>
    <w:rsid w:val="00FE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2142D"/>
  <w15:chartTrackingRefBased/>
  <w15:docId w15:val="{AAAA08AF-60B8-4A71-9728-9A75B6C19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wypunktowanie,Podsis rysunku,Akapit z listą numerowaną,lp1,Bullet List,FooterText,numbered,Paragraphe de liste1,Bulletr List Paragraph,列出段落,列出段落1,List Paragraph21,Listeafsnit1,リスト段落"/>
    <w:basedOn w:val="Normalny"/>
    <w:link w:val="AkapitzlistZnak"/>
    <w:uiPriority w:val="34"/>
    <w:qFormat/>
    <w:rsid w:val="00C71677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wypunktowanie Znak,Podsis rysunku Znak,Akapit z listą numerowaną Znak,lp1 Znak,Bullet List Znak,FooterText Znak,numbered Znak,Paragraphe de liste1 Znak"/>
    <w:link w:val="Akapitzlist"/>
    <w:uiPriority w:val="34"/>
    <w:qFormat/>
    <w:locked/>
    <w:rsid w:val="003B3FA6"/>
  </w:style>
  <w:style w:type="table" w:customStyle="1" w:styleId="Tabela-Siatka1">
    <w:name w:val="Tabela - Siatka1"/>
    <w:basedOn w:val="Standardowy"/>
    <w:next w:val="Tabela-Siatka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B3F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99"/>
    <w:semiHidden/>
    <w:unhideWhenUsed/>
    <w:qFormat/>
    <w:rsid w:val="00463B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63B3A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Nadpunkt">
    <w:name w:val="Nadpunkt"/>
    <w:basedOn w:val="Normalny"/>
    <w:autoRedefine/>
    <w:qFormat/>
    <w:rsid w:val="000935B5"/>
    <w:pPr>
      <w:numPr>
        <w:numId w:val="8"/>
      </w:numPr>
      <w:spacing w:before="60" w:after="60" w:line="240" w:lineRule="auto"/>
    </w:pPr>
    <w:rPr>
      <w:rFonts w:ascii="Times New Roman" w:eastAsia="Times New Roman" w:hAnsi="Times New Roman" w:cs="Times New Roman"/>
      <w:lang w:eastAsia="ja-JP"/>
    </w:rPr>
  </w:style>
  <w:style w:type="paragraph" w:styleId="Listapunktowana">
    <w:name w:val="List Bullet"/>
    <w:basedOn w:val="Normalny"/>
    <w:uiPriority w:val="99"/>
    <w:unhideWhenUsed/>
    <w:rsid w:val="000935B5"/>
    <w:pPr>
      <w:numPr>
        <w:numId w:val="5"/>
      </w:numPr>
      <w:contextualSpacing/>
    </w:pPr>
    <w:rPr>
      <w:kern w:val="2"/>
      <w14:ligatures w14:val="standardContextual"/>
    </w:rPr>
  </w:style>
  <w:style w:type="character" w:styleId="Pogrubienie">
    <w:name w:val="Strong"/>
    <w:basedOn w:val="Domylnaczcionkaakapitu"/>
    <w:uiPriority w:val="22"/>
    <w:qFormat/>
    <w:rsid w:val="00DB179B"/>
    <w:rPr>
      <w:b/>
      <w:bCs/>
    </w:rPr>
  </w:style>
  <w:style w:type="character" w:customStyle="1" w:styleId="Nagwek3Znak">
    <w:name w:val="Nagłówek 3 Znak"/>
    <w:basedOn w:val="Domylnaczcionkaakapitu"/>
    <w:uiPriority w:val="9"/>
    <w:rsid w:val="00DB179B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7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79B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79B"/>
    <w:rPr>
      <w:kern w:val="2"/>
      <w:sz w:val="20"/>
      <w:szCs w:val="20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736"/>
    <w:rPr>
      <w:b/>
      <w:bCs/>
      <w:kern w:val="0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736"/>
    <w:rPr>
      <w:b/>
      <w:bCs/>
      <w:kern w:val="2"/>
      <w:sz w:val="20"/>
      <w:szCs w:val="20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451"/>
  </w:style>
  <w:style w:type="paragraph" w:styleId="Stopka">
    <w:name w:val="footer"/>
    <w:basedOn w:val="Normalny"/>
    <w:link w:val="StopkaZnak"/>
    <w:uiPriority w:val="99"/>
    <w:unhideWhenUsed/>
    <w:rsid w:val="00587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2645</Words>
  <Characters>15872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5</cp:revision>
  <dcterms:created xsi:type="dcterms:W3CDTF">2026-08-14T11:08:00Z</dcterms:created>
  <dcterms:modified xsi:type="dcterms:W3CDTF">2026-08-25T12:27:00Z</dcterms:modified>
</cp:coreProperties>
</file>