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82E4E" w14:textId="77777777" w:rsidR="007A7983" w:rsidRDefault="00582536">
      <w:pPr>
        <w:spacing w:after="360"/>
        <w:jc w:val="center"/>
      </w:pPr>
      <w:r>
        <w:rPr>
          <w:rFonts w:ascii="Calibri" w:eastAsia="Calibri" w:hAnsi="Calibri" w:cs="Calibri"/>
          <w:b/>
          <w:bCs/>
          <w:sz w:val="26"/>
          <w:szCs w:val="26"/>
        </w:rPr>
        <w:t>Opis przedmiotu zamówienia</w:t>
      </w:r>
    </w:p>
    <w:p w14:paraId="6B15274C" w14:textId="67325C9B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Przedmiotem zamówienia jest dostawa ciekłego helu w łącznej ilości maksymalnie do 3500 litrów na podstawie zamówienia Zamawiającego oraz wypożyczenie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Wykonawcy maksymalnie na okres 40 dób oraz transport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>. Przedmiot zamówienia obejmuje tzw. zamówienie podstawowe oraz zamówienie opcjonalne, których szczegółowy zakres został określony w dalszych fragmentach Opisu przedmiotu zamówienia. Okres obowiązywania umowy obejmującej Przedmiot zamówienia wynosi 12 miesięcy. Zamawiający dopuszcza możliwość wydłużenia okresu realizacji zamówienia (nie dłużej niż o 6 miesięcy) w drodze aneksu do umowy na warunkach określonych w projektowanych postanowieniach umowy, stanowiących załącznik do SWZ.</w:t>
      </w:r>
    </w:p>
    <w:p w14:paraId="25917AF5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Ciekły hel winien spełniać poniższe warunki czystości: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2000"/>
        <w:gridCol w:w="1800"/>
        <w:gridCol w:w="2626"/>
      </w:tblGrid>
      <w:tr w:rsidR="007A7983" w14:paraId="06C4581A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6D5A8" w14:textId="77777777" w:rsidR="007A7983" w:rsidRDefault="00582536"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Nazwa składnika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F60E7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Wzór chemiczny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553B6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Jednostka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462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Zakres</w:t>
            </w:r>
          </w:p>
        </w:tc>
      </w:tr>
      <w:tr w:rsidR="007A7983" w14:paraId="1EF6C47A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49771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hel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29427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He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A8EA9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[mol %]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FB1DA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min. 99,999</w:t>
            </w:r>
          </w:p>
        </w:tc>
      </w:tr>
      <w:tr w:rsidR="007A7983" w14:paraId="24EBB56C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2C59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dwutlenek węgla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3CBB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CO₂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CA91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F214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Σ max 0,5</w:t>
            </w:r>
          </w:p>
        </w:tc>
      </w:tr>
      <w:tr w:rsidR="007A7983" w14:paraId="58CC5F71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BEEA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tlenek węgla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7BFD8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CO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79B16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5633A" w14:textId="77777777" w:rsidR="007A7983" w:rsidRDefault="007A7983"/>
        </w:tc>
      </w:tr>
      <w:tr w:rsidR="007A7983" w14:paraId="1FB51CC0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654CF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wodór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04C1C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H₂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4AFE0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C1F30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1,0</w:t>
            </w:r>
          </w:p>
        </w:tc>
      </w:tr>
      <w:tr w:rsidR="007A7983" w14:paraId="2C5B47F4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CC0F4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neon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303E5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Ne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924F5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C7C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2,0</w:t>
            </w:r>
          </w:p>
        </w:tc>
      </w:tr>
      <w:tr w:rsidR="007A7983" w14:paraId="63CD6376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41376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azot + argon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B7C11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N₂ + Ar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38F17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52305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5,0</w:t>
            </w:r>
          </w:p>
        </w:tc>
      </w:tr>
      <w:tr w:rsidR="007A7983" w14:paraId="0D6048CB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D8E64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tlen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C7B14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O₂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A858F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89E0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1,0</w:t>
            </w:r>
          </w:p>
        </w:tc>
      </w:tr>
      <w:tr w:rsidR="007A7983" w14:paraId="6238B53C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5553C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metan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3AF3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CH₄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4E72E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5BDA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0,5</w:t>
            </w:r>
          </w:p>
        </w:tc>
      </w:tr>
      <w:tr w:rsidR="007A7983" w14:paraId="524D5069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DA048" w14:textId="77777777" w:rsidR="007A7983" w:rsidRDefault="00582536">
            <w:r>
              <w:rPr>
                <w:rFonts w:ascii="Calibri" w:eastAsia="Calibri" w:hAnsi="Calibri" w:cs="Calibri"/>
                <w:sz w:val="21"/>
                <w:szCs w:val="21"/>
              </w:rPr>
              <w:t>woda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AA9B2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H₂O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CECB4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[mol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ppm</w:t>
            </w:r>
            <w:proofErr w:type="spellEnd"/>
            <w:r>
              <w:rPr>
                <w:rFonts w:ascii="Calibri" w:eastAsia="Calibri" w:hAnsi="Calibri" w:cs="Calibri"/>
                <w:sz w:val="21"/>
                <w:szCs w:val="21"/>
              </w:rPr>
              <w:t>]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18377" w14:textId="77777777" w:rsidR="007A7983" w:rsidRDefault="00582536">
            <w:pPr>
              <w:jc w:val="center"/>
            </w:pPr>
            <w:r>
              <w:rPr>
                <w:rFonts w:ascii="Calibri" w:eastAsia="Calibri" w:hAnsi="Calibri" w:cs="Calibri"/>
                <w:sz w:val="21"/>
                <w:szCs w:val="21"/>
              </w:rPr>
              <w:t>max 1,5</w:t>
            </w:r>
          </w:p>
        </w:tc>
      </w:tr>
    </w:tbl>
    <w:p w14:paraId="7B12A05C" w14:textId="77777777" w:rsidR="007A7983" w:rsidRDefault="007A7983">
      <w:pPr>
        <w:spacing w:after="160"/>
      </w:pPr>
    </w:p>
    <w:p w14:paraId="149EEFEC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Pojedyncza dostawa ciekłego helu w ramach zamówienia podstawowego musi być realizowana w 3 </w:t>
      </w:r>
      <w:proofErr w:type="spellStart"/>
      <w:r>
        <w:rPr>
          <w:rFonts w:ascii="Calibri" w:eastAsia="Calibri" w:hAnsi="Calibri" w:cs="Calibri"/>
          <w:sz w:val="22"/>
          <w:szCs w:val="22"/>
        </w:rPr>
        <w:t>dewarach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kriogenicznych Wykonawcy o pojemności 250 l każdy, a dostawa w ramach prawa opcji – w 1, 2 lub 3 </w:t>
      </w:r>
      <w:proofErr w:type="spellStart"/>
      <w:r>
        <w:rPr>
          <w:rFonts w:ascii="Calibri" w:eastAsia="Calibri" w:hAnsi="Calibri" w:cs="Calibri"/>
          <w:sz w:val="22"/>
          <w:szCs w:val="22"/>
        </w:rPr>
        <w:t>dewarach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kriogenicznych Wykonawcy o pojemności 250 l każdy, stosownie do zamówionej ilości, po wcześniejszym złożeniu zamówienia i uzgodnieniu ilości zamawianego ciekłego helu przez Zamawiającego.</w:t>
      </w:r>
    </w:p>
    <w:p w14:paraId="3066E602" w14:textId="53118A52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Wielkość każdorazowej dostawy ciekłego helu wynosić będzie: a) w ramach zamówienia podstawowego – 700 l, b) w ramach zamówienia objętego prawem opcji – do 700 l, stosownie do potrzeb Zamawiającego wskazanych w zamówieniu.</w:t>
      </w:r>
    </w:p>
    <w:p w14:paraId="7692BA2F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Dostawa Przedmiotu zamówienia do Zamawiającego będzie realizowana do Poznania na adres: ul. Uniwersytetu Poznańskiego 2, 8, 10 oraz ul. Wszechnicy Piastowskiej 3. Zamawiający każdorazowo wskaże w zamówieniu jednostkowym adres dostawy helu. Termin realizacji zamówienia w zakresie dostawy helu: maksymalnie do 8 dni roboczych od daty złożenia zamówienia. Termin realizacji zamówienia stanowi kryterium oceny ofert.</w:t>
      </w:r>
    </w:p>
    <w:p w14:paraId="75FD86A5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Wykonawca musi zapewnić odpowiednią armaturę (elementy dostosowujące średnicę króćca </w:t>
      </w:r>
      <w:proofErr w:type="spellStart"/>
      <w:r>
        <w:rPr>
          <w:rFonts w:ascii="Calibri" w:eastAsia="Calibri" w:hAnsi="Calibri" w:cs="Calibri"/>
          <w:sz w:val="22"/>
          <w:szCs w:val="22"/>
        </w:rPr>
        <w:t>dewara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do linii transmisyjnej) oraz hel gazowy, niezbędny do przetransferowania ciekłego helu z </w:t>
      </w:r>
      <w:proofErr w:type="spellStart"/>
      <w:r>
        <w:rPr>
          <w:rFonts w:ascii="Calibri" w:eastAsia="Calibri" w:hAnsi="Calibri" w:cs="Calibri"/>
          <w:sz w:val="22"/>
          <w:szCs w:val="22"/>
        </w:rPr>
        <w:t>dewara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do magnesów nadprzewodzących za pomocą linii transferowych o średnicy 10 lub 12 mm (linie transferowe zapewnia Zamawiający).</w:t>
      </w:r>
    </w:p>
    <w:p w14:paraId="1A236599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Ze względu na właściwości diamagnetyczne ciekłego helu, umożliwiające skuteczne i bezpieczne chłodzenie oraz napełnianie magnesów nadprzewodzących, wymagane jest zastosowanie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kriogenicznych dostosowanych do tego typu operacji.</w:t>
      </w:r>
    </w:p>
    <w:p w14:paraId="5AFD6995" w14:textId="62F44434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Przewidziana przez Zamawiającego w Opisie przedmiotu zamówienia maksymalna ilość 3.500 litrów ciekłego helu jest wielkością orientacyjną i może ulec zmianie (zmniejszeniu) w zależności od potrzeb Zamawiającego w trakcie trwania umowy z uwzględnieniem reguł opisanych poniżej. Zamawiający gwarantuje zakupienie od Wykonawcy towarów objętych przedmiotem niniejszego postępowania – tzw. zamówienie podstawowe obejmujące: zakup helu w 4 dostawach w łącznej ilości 2800 litrów (700 l każda z zamówionych dostaw, dostarczanych w 3 </w:t>
      </w:r>
      <w:proofErr w:type="spellStart"/>
      <w:r>
        <w:rPr>
          <w:rFonts w:ascii="Calibri" w:eastAsia="Calibri" w:hAnsi="Calibri" w:cs="Calibri"/>
          <w:sz w:val="22"/>
          <w:szCs w:val="22"/>
        </w:rPr>
        <w:t>dewarach</w:t>
      </w:r>
      <w:proofErr w:type="spellEnd"/>
      <w:r>
        <w:rPr>
          <w:rFonts w:ascii="Calibri" w:eastAsia="Calibri" w:hAnsi="Calibri" w:cs="Calibri"/>
          <w:sz w:val="22"/>
          <w:szCs w:val="22"/>
        </w:rPr>
        <w:t>) oraz związaną z dostawą usługą transportową.</w:t>
      </w:r>
    </w:p>
    <w:p w14:paraId="46C87283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Zamawiający wskazuje, że w ramach tzw. prawa opcji jest uprawniony do zakupu od Wykonawcy Przedmiotu zamówienia stanowiącego przedmiot zamówienia tj. helu w ilości maksymalnej 700 litrów, dostarczonego w ramach 5 (piątej) zamówionej przez Zamawiającego dostawy realizowanej w 1, 2 lub 3 </w:t>
      </w:r>
      <w:proofErr w:type="spellStart"/>
      <w:r>
        <w:rPr>
          <w:rFonts w:ascii="Calibri" w:eastAsia="Calibri" w:hAnsi="Calibri" w:cs="Calibri"/>
          <w:sz w:val="22"/>
          <w:szCs w:val="22"/>
        </w:rPr>
        <w:t>dewarach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(stosownie do zamówionej ilości), ich transport oraz skorzystania z usługi wypożyczenia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w których hel został dostarczony na maksymalny okres do 40 dób. Dostawa w ramach prawa opcji może zostać zamówiona w szczególności jako kolejna dostawa, na zasadach takich jak dostawy w ramach zamówienia podstawowego, albo w przypadku awarii, nieszczelności lub konieczności uzupełnienia ciekłego helu – w ilości wskazanej przez Zamawiającego w zamówieniu, także w ilości mieszczącej się w 1 (jednym) </w:t>
      </w:r>
      <w:proofErr w:type="spellStart"/>
      <w:r>
        <w:rPr>
          <w:rFonts w:ascii="Calibri" w:eastAsia="Calibri" w:hAnsi="Calibri" w:cs="Calibri"/>
          <w:sz w:val="22"/>
          <w:szCs w:val="22"/>
        </w:rPr>
        <w:t>dewarze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2DDEF53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Wypożyczenie i transport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mają być realizowane poprzez:</w:t>
      </w:r>
    </w:p>
    <w:p w14:paraId="6732ED8F" w14:textId="4FE97C9F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1) wypożyczenie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kriogenicznych Wykonawcy o pojemności 250 l w celu uruchomienia spektrometrów NMR przez serwis producenta maksymalnie przez okres 40 dób (Wykonawca zaoferuje cenę jednostkową za dobę w odniesieniu do 3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>) w okresie obowiązywania umowy;</w:t>
      </w:r>
    </w:p>
    <w:p w14:paraId="27D07FCF" w14:textId="4B5EB1A8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2) transport </w:t>
      </w:r>
      <w:proofErr w:type="spellStart"/>
      <w:r>
        <w:rPr>
          <w:rFonts w:ascii="Calibri" w:eastAsia="Calibri" w:hAnsi="Calibri" w:cs="Calibri"/>
          <w:sz w:val="22"/>
          <w:szCs w:val="22"/>
        </w:rPr>
        <w:t>dewarów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kriogenicznych Wykonawcy po napełnieniu spektrometrów NMR przez serwis producenta (na trasie: baza Wykonawcy – siedziba Zamawiającego [Poznań] – baza Wykonawcy) – koszt transportu Wykonawca uwzględni w cenie 1 litra ciekłego helu. Zamawiający przewiduje maksymalnie 5 kursów transportowych, w tym 4 (cztery) kursy transportowe stanowią zamówienie podstawowe oraz 1 (jeden) kurs zamówienie opcjonalne.</w:t>
      </w:r>
    </w:p>
    <w:p w14:paraId="04C40185" w14:textId="77777777" w:rsidR="007A7983" w:rsidRDefault="00582536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Wykonawca musi posiadać samochód transportowy wyposażony w windę oraz dopuszczony do przewozu materiałów niebezpiecznych (uprawnienia ADR).</w:t>
      </w:r>
    </w:p>
    <w:sectPr w:rsidR="007A79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CFDA9" w14:textId="77777777" w:rsidR="00F46B78" w:rsidRDefault="00F46B78" w:rsidP="003F40CB">
      <w:r>
        <w:separator/>
      </w:r>
    </w:p>
  </w:endnote>
  <w:endnote w:type="continuationSeparator" w:id="0">
    <w:p w14:paraId="69FED0A0" w14:textId="77777777" w:rsidR="00F46B78" w:rsidRDefault="00F46B78" w:rsidP="003F4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7D6E7" w14:textId="77777777" w:rsidR="00F46B78" w:rsidRDefault="00F46B78" w:rsidP="003F40CB">
      <w:r>
        <w:separator/>
      </w:r>
    </w:p>
  </w:footnote>
  <w:footnote w:type="continuationSeparator" w:id="0">
    <w:p w14:paraId="7AC58AA6" w14:textId="77777777" w:rsidR="00F46B78" w:rsidRDefault="00F46B78" w:rsidP="003F4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D0A98" w14:textId="142E8D84" w:rsidR="003F40CB" w:rsidRDefault="003F40CB">
    <w:pPr>
      <w:pStyle w:val="Nagwek"/>
    </w:pPr>
    <w:r>
      <w:t>Postępowanie ZP3/9105/26</w:t>
    </w:r>
    <w:r>
      <w:tab/>
    </w:r>
    <w:r>
      <w:tab/>
      <w:t>Załącznik A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630C0"/>
    <w:multiLevelType w:val="hybridMultilevel"/>
    <w:tmpl w:val="ED7C5692"/>
    <w:lvl w:ilvl="0" w:tplc="9DBCC5C2">
      <w:start w:val="1"/>
      <w:numFmt w:val="bullet"/>
      <w:lvlText w:val="●"/>
      <w:lvlJc w:val="left"/>
      <w:pPr>
        <w:ind w:left="720" w:hanging="360"/>
      </w:pPr>
    </w:lvl>
    <w:lvl w:ilvl="1" w:tplc="56C064D4">
      <w:start w:val="1"/>
      <w:numFmt w:val="bullet"/>
      <w:lvlText w:val="○"/>
      <w:lvlJc w:val="left"/>
      <w:pPr>
        <w:ind w:left="1440" w:hanging="360"/>
      </w:pPr>
    </w:lvl>
    <w:lvl w:ilvl="2" w:tplc="75666D94">
      <w:start w:val="1"/>
      <w:numFmt w:val="bullet"/>
      <w:lvlText w:val="■"/>
      <w:lvlJc w:val="left"/>
      <w:pPr>
        <w:ind w:left="2160" w:hanging="360"/>
      </w:pPr>
    </w:lvl>
    <w:lvl w:ilvl="3" w:tplc="5E9E6946">
      <w:start w:val="1"/>
      <w:numFmt w:val="bullet"/>
      <w:lvlText w:val="●"/>
      <w:lvlJc w:val="left"/>
      <w:pPr>
        <w:ind w:left="2880" w:hanging="360"/>
      </w:pPr>
    </w:lvl>
    <w:lvl w:ilvl="4" w:tplc="2976FEF2">
      <w:start w:val="1"/>
      <w:numFmt w:val="bullet"/>
      <w:lvlText w:val="○"/>
      <w:lvlJc w:val="left"/>
      <w:pPr>
        <w:ind w:left="3600" w:hanging="360"/>
      </w:pPr>
    </w:lvl>
    <w:lvl w:ilvl="5" w:tplc="4CD4EB30">
      <w:start w:val="1"/>
      <w:numFmt w:val="bullet"/>
      <w:lvlText w:val="■"/>
      <w:lvlJc w:val="left"/>
      <w:pPr>
        <w:ind w:left="4320" w:hanging="360"/>
      </w:pPr>
    </w:lvl>
    <w:lvl w:ilvl="6" w:tplc="1D68792C">
      <w:start w:val="1"/>
      <w:numFmt w:val="bullet"/>
      <w:lvlText w:val="●"/>
      <w:lvlJc w:val="left"/>
      <w:pPr>
        <w:ind w:left="5040" w:hanging="360"/>
      </w:pPr>
    </w:lvl>
    <w:lvl w:ilvl="7" w:tplc="29146C78">
      <w:start w:val="1"/>
      <w:numFmt w:val="bullet"/>
      <w:lvlText w:val="●"/>
      <w:lvlJc w:val="left"/>
      <w:pPr>
        <w:ind w:left="5760" w:hanging="360"/>
      </w:pPr>
    </w:lvl>
    <w:lvl w:ilvl="8" w:tplc="95BE1B16">
      <w:start w:val="1"/>
      <w:numFmt w:val="bullet"/>
      <w:lvlText w:val="●"/>
      <w:lvlJc w:val="left"/>
      <w:pPr>
        <w:ind w:left="6480" w:hanging="360"/>
      </w:pPr>
    </w:lvl>
  </w:abstractNum>
  <w:num w:numId="1" w16cid:durableId="19499244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983"/>
    <w:rsid w:val="001C36BB"/>
    <w:rsid w:val="00275282"/>
    <w:rsid w:val="003F40CB"/>
    <w:rsid w:val="00582536"/>
    <w:rsid w:val="007A7983"/>
    <w:rsid w:val="00E0124D"/>
    <w:rsid w:val="00F4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6B2E"/>
  <w15:docId w15:val="{282B92CA-DA3F-4807-8E60-2411F353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Poprawka">
    <w:name w:val="Revision"/>
    <w:hidden/>
    <w:uiPriority w:val="99"/>
    <w:semiHidden/>
    <w:rsid w:val="00E0124D"/>
  </w:style>
  <w:style w:type="paragraph" w:styleId="Nagwek">
    <w:name w:val="header"/>
    <w:basedOn w:val="Normalny"/>
    <w:link w:val="NagwekZnak"/>
    <w:uiPriority w:val="99"/>
    <w:unhideWhenUsed/>
    <w:rsid w:val="003F40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40CB"/>
  </w:style>
  <w:style w:type="paragraph" w:styleId="Stopka">
    <w:name w:val="footer"/>
    <w:basedOn w:val="Normalny"/>
    <w:link w:val="StopkaZnak"/>
    <w:uiPriority w:val="99"/>
    <w:unhideWhenUsed/>
    <w:rsid w:val="003F4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4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Iwona Zerbin</cp:lastModifiedBy>
  <cp:revision>2</cp:revision>
  <cp:lastPrinted>2026-10-13T08:50:00Z</cp:lastPrinted>
  <dcterms:created xsi:type="dcterms:W3CDTF">2026-10-19T08:09:00Z</dcterms:created>
  <dcterms:modified xsi:type="dcterms:W3CDTF">2026-10-19T08:09:00Z</dcterms:modified>
</cp:coreProperties>
</file>