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3"/>
      </w:tblGrid>
      <w:tr w:rsidR="007D33D3" w:rsidRPr="007D33D3" w:rsidTr="00931733">
        <w:trPr>
          <w:trHeight w:val="255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7D33D3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Numer postępowania: </w:t>
            </w:r>
            <w:r w:rsidRPr="00E86226">
              <w:rPr>
                <w:rFonts w:ascii="Arial CE" w:eastAsia="Times New Roman" w:hAnsi="Arial CE" w:cs="Arial CE"/>
                <w:b/>
                <w:sz w:val="20"/>
                <w:szCs w:val="20"/>
                <w:lang w:eastAsia="pl-PL"/>
              </w:rPr>
              <w:t>ZP-271-23/22</w:t>
            </w:r>
          </w:p>
        </w:tc>
      </w:tr>
      <w:tr w:rsidR="007D33D3" w:rsidRPr="007D33D3" w:rsidTr="00931733">
        <w:trPr>
          <w:trHeight w:val="959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pl-PL"/>
              </w:rPr>
            </w:pPr>
            <w:proofErr w:type="spellStart"/>
            <w:r w:rsidRPr="007D33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pl-PL"/>
              </w:rPr>
              <w:t>Sekwenator</w:t>
            </w:r>
            <w:proofErr w:type="spellEnd"/>
            <w:r w:rsidRPr="007D33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pl-PL"/>
              </w:rPr>
              <w:t xml:space="preserve"> nowej generacji NGS</w:t>
            </w:r>
            <w:r w:rsidRPr="007D33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pl-PL"/>
              </w:rPr>
              <w:br/>
              <w:t>(1 sztuka)</w:t>
            </w:r>
          </w:p>
        </w:tc>
      </w:tr>
      <w:tr w:rsidR="007D33D3" w:rsidRPr="007D33D3" w:rsidTr="00931733">
        <w:trPr>
          <w:trHeight w:val="1285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  <w:r w:rsidRPr="007D33D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 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Zamawiający wymaga, by przedmiot niniejszego postępowania był fabrycznie nowy, nie powystawowy, kompletny, nie używany do prezentacji, wolny od wad fizycznych i prawnych, wyprodukowany nie wcześniej niż w 2021 roku oraz oryginalnie zapakowany, w sposób zabezpieczający przed przypadkowym uszkodzeniem.</w:t>
            </w:r>
          </w:p>
        </w:tc>
      </w:tr>
      <w:tr w:rsidR="007D33D3" w:rsidRPr="007D33D3" w:rsidTr="00931733">
        <w:trPr>
          <w:trHeight w:val="1123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2. Urządzenie umożliwia sekwencjonowanie małych genomów (wirusowych, bakteryjnych), celowane </w:t>
            </w:r>
            <w:proofErr w:type="spellStart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resekwencjonowanie</w:t>
            </w:r>
            <w:proofErr w:type="spellEnd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 (</w:t>
            </w:r>
            <w:proofErr w:type="spellStart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amplikony</w:t>
            </w:r>
            <w:proofErr w:type="spellEnd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, panele genowe), celowane profilowanie ekspresji genów, analizę </w:t>
            </w:r>
            <w:proofErr w:type="spellStart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miRNA</w:t>
            </w:r>
            <w:proofErr w:type="spellEnd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 / small RNA</w:t>
            </w:r>
          </w:p>
        </w:tc>
      </w:tr>
      <w:tr w:rsidR="007D33D3" w:rsidRPr="007D33D3" w:rsidTr="00931733">
        <w:trPr>
          <w:trHeight w:val="3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3. Źródło wzbudzania: dioda LED 515nm, 650nm</w:t>
            </w:r>
          </w:p>
        </w:tc>
      </w:tr>
      <w:tr w:rsidR="007D33D3" w:rsidRPr="007D33D3" w:rsidTr="00931733">
        <w:trPr>
          <w:trHeight w:val="7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4. Urządzenie wyposażone w zintegrowane moduły do amplifikacji, odczytu sekwencji oraz analizy danych</w:t>
            </w:r>
          </w:p>
        </w:tc>
      </w:tr>
      <w:tr w:rsidR="007D33D3" w:rsidRPr="007D33D3" w:rsidTr="00931733">
        <w:trPr>
          <w:trHeight w:val="135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5. Urządzenie pracujące w oparciu o sekwencjonowanie przez syntezę, izotermiczna amplifikacja na fazie stałej (komórka przepływowa), prowadząca do wytworzenia macierzy klastrów cząsteczek klonalnych</w:t>
            </w:r>
          </w:p>
        </w:tc>
      </w:tr>
      <w:tr w:rsidR="007D33D3" w:rsidRPr="007D33D3" w:rsidTr="00931733">
        <w:trPr>
          <w:trHeight w:val="6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6. Cykl amplifikacji i sekwencjonowania nie wymagający ręcznych manipulacji oraz dodatkowych urządzeń </w:t>
            </w:r>
          </w:p>
        </w:tc>
      </w:tr>
      <w:tr w:rsidR="007D33D3" w:rsidRPr="007D33D3" w:rsidTr="00931733">
        <w:trPr>
          <w:trHeight w:val="6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7. Cykle amplifikacji i sekwencjonowania, również w trybie sparowanych końców w pełni zautomatyzowane </w:t>
            </w:r>
          </w:p>
        </w:tc>
      </w:tr>
      <w:tr w:rsidR="007D33D3" w:rsidRPr="007D33D3" w:rsidTr="00931733">
        <w:trPr>
          <w:trHeight w:val="3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8. Parametry sekwencjonowania </w:t>
            </w:r>
          </w:p>
        </w:tc>
      </w:tr>
      <w:tr w:rsidR="007D33D3" w:rsidRPr="007D33D3" w:rsidTr="00931733">
        <w:trPr>
          <w:trHeight w:val="3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ind w:firstLineChars="400" w:firstLine="880"/>
              <w:rPr>
                <w:rFonts w:ascii="Symbol" w:eastAsia="Times New Roman" w:hAnsi="Symbol" w:cs="Arial CE"/>
                <w:lang w:eastAsia="pl-PL"/>
              </w:rPr>
            </w:pPr>
            <w:r w:rsidRPr="007D33D3">
              <w:rPr>
                <w:rFonts w:ascii="Symbol" w:eastAsia="Times New Roman" w:hAnsi="Symbol" w:cs="Arial CE"/>
                <w:lang w:eastAsia="pl-PL"/>
              </w:rPr>
              <w:t></w:t>
            </w:r>
            <w:r w:rsidRPr="007D33D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    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Długość odczytu w zakresie od 1 x 75pz do 2 x 150pz. </w:t>
            </w:r>
          </w:p>
        </w:tc>
      </w:tr>
      <w:tr w:rsidR="007D33D3" w:rsidRPr="007D33D3" w:rsidTr="00931733">
        <w:trPr>
          <w:trHeight w:val="9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ind w:firstLineChars="400" w:firstLine="880"/>
              <w:rPr>
                <w:rFonts w:ascii="Symbol" w:eastAsia="Times New Roman" w:hAnsi="Symbol" w:cs="Arial CE"/>
                <w:lang w:eastAsia="pl-PL"/>
              </w:rPr>
            </w:pPr>
            <w:r w:rsidRPr="007D33D3">
              <w:rPr>
                <w:rFonts w:ascii="Symbol" w:eastAsia="Times New Roman" w:hAnsi="Symbol" w:cs="Arial CE"/>
                <w:lang w:eastAsia="pl-PL"/>
              </w:rPr>
              <w:t></w:t>
            </w:r>
            <w:r w:rsidRPr="007D33D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    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Wydajność w jednym cyklu pracy urządzenia (liczba par zasad DNA odczytywana w jednej reakcji urządzenia) do około 7,5Gb w trybie sparowanych końców.</w:t>
            </w:r>
          </w:p>
        </w:tc>
      </w:tr>
      <w:tr w:rsidR="007D33D3" w:rsidRPr="007D33D3" w:rsidTr="00931733">
        <w:trPr>
          <w:trHeight w:val="6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ind w:firstLineChars="400" w:firstLine="880"/>
              <w:rPr>
                <w:rFonts w:ascii="Symbol" w:eastAsia="Times New Roman" w:hAnsi="Symbol" w:cs="Arial CE"/>
                <w:lang w:eastAsia="pl-PL"/>
              </w:rPr>
            </w:pPr>
            <w:r w:rsidRPr="007D33D3">
              <w:rPr>
                <w:rFonts w:ascii="Symbol" w:eastAsia="Times New Roman" w:hAnsi="Symbol" w:cs="Arial CE"/>
                <w:lang w:eastAsia="pl-PL"/>
              </w:rPr>
              <w:t></w:t>
            </w:r>
            <w:r w:rsidRPr="007D33D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    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Wysoka dokładność odczytu (Q30 na poziomie minimum 80% uzyskanych danych dla optymalnie przygotowanej biblioteki kontrolnej)</w:t>
            </w:r>
          </w:p>
        </w:tc>
      </w:tr>
      <w:tr w:rsidR="007D33D3" w:rsidRPr="007D33D3" w:rsidTr="00931733">
        <w:trPr>
          <w:trHeight w:val="9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9. Urządzenie z zintegrowanym komputerem z zainstalowanym systemem operacyjnym Windows, sterowane wbudowanym dotykowym ekranem lub za pośrednictwem klawiatury i myszy </w:t>
            </w:r>
          </w:p>
        </w:tc>
      </w:tr>
      <w:tr w:rsidR="007D33D3" w:rsidRPr="007D33D3" w:rsidTr="00931733">
        <w:trPr>
          <w:trHeight w:val="3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10. Możliwość pracy w 3 trybach </w:t>
            </w:r>
          </w:p>
        </w:tc>
      </w:tr>
      <w:tr w:rsidR="007D33D3" w:rsidRPr="007D33D3" w:rsidTr="00931733">
        <w:trPr>
          <w:trHeight w:val="9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ind w:firstLineChars="400" w:firstLine="880"/>
              <w:rPr>
                <w:rFonts w:ascii="Symbol" w:eastAsia="Times New Roman" w:hAnsi="Symbol" w:cs="Arial CE"/>
                <w:lang w:eastAsia="pl-PL"/>
              </w:rPr>
            </w:pPr>
            <w:r w:rsidRPr="007D33D3">
              <w:rPr>
                <w:rFonts w:ascii="Symbol" w:eastAsia="Times New Roman" w:hAnsi="Symbol" w:cs="Arial CE"/>
                <w:lang w:eastAsia="pl-PL"/>
              </w:rPr>
              <w:t></w:t>
            </w:r>
            <w:r w:rsidRPr="007D33D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    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trybie wysokoprzepustowym Liczba odczytów generowana w jednym cyklu pracy do 25 mln w trybie pojedynczych odczytów,  do 50 mln w trybie sparowanych końców.</w:t>
            </w:r>
          </w:p>
        </w:tc>
      </w:tr>
      <w:tr w:rsidR="007D33D3" w:rsidRPr="007D33D3" w:rsidTr="00931733">
        <w:trPr>
          <w:trHeight w:val="6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ind w:firstLineChars="400" w:firstLine="880"/>
              <w:rPr>
                <w:rFonts w:ascii="Symbol" w:eastAsia="Times New Roman" w:hAnsi="Symbol" w:cs="Arial CE"/>
                <w:lang w:eastAsia="pl-PL"/>
              </w:rPr>
            </w:pPr>
            <w:r w:rsidRPr="007D33D3">
              <w:rPr>
                <w:rFonts w:ascii="Symbol" w:eastAsia="Times New Roman" w:hAnsi="Symbol" w:cs="Arial CE"/>
                <w:lang w:eastAsia="pl-PL"/>
              </w:rPr>
              <w:t></w:t>
            </w:r>
            <w:r w:rsidRPr="007D33D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    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W trybie </w:t>
            </w:r>
            <w:proofErr w:type="spellStart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średnioprzepustowym</w:t>
            </w:r>
            <w:proofErr w:type="spellEnd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 do 8 mln w trybie pojedynczych odczytów, do 16 mln w trybie sparowanych końców.</w:t>
            </w:r>
          </w:p>
        </w:tc>
      </w:tr>
      <w:tr w:rsidR="007D33D3" w:rsidRPr="007D33D3" w:rsidTr="00931733">
        <w:trPr>
          <w:trHeight w:val="3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tryb przyspieszony (</w:t>
            </w:r>
            <w:proofErr w:type="spellStart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rapid</w:t>
            </w:r>
            <w:proofErr w:type="spellEnd"/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) dla fragmentów 100bp, tryb pojedynczych odczytów</w:t>
            </w:r>
          </w:p>
        </w:tc>
      </w:tr>
      <w:tr w:rsidR="007D33D3" w:rsidRPr="007D33D3" w:rsidTr="00931733">
        <w:trPr>
          <w:trHeight w:val="6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11. System otwarty – możliwość pracy nie tylko z zestawami producenta ale też z zestawami innych firmy </w:t>
            </w:r>
          </w:p>
        </w:tc>
      </w:tr>
      <w:tr w:rsidR="007D33D3" w:rsidRPr="007D33D3" w:rsidTr="00931733">
        <w:trPr>
          <w:trHeight w:val="3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12. Wymiary nie większe niż: szer. × gł. × wys.: ok. 50 cm × 50 cm × 55 cm.</w:t>
            </w:r>
          </w:p>
        </w:tc>
      </w:tr>
      <w:tr w:rsidR="007D33D3" w:rsidRPr="007D33D3" w:rsidTr="00931733">
        <w:trPr>
          <w:trHeight w:val="3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13. Waga, nie więcej niż: ok. 50 kg.</w:t>
            </w:r>
          </w:p>
        </w:tc>
      </w:tr>
      <w:tr w:rsidR="007D33D3" w:rsidRPr="007D33D3" w:rsidTr="00931733">
        <w:trPr>
          <w:trHeight w:val="3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14. W zestawie UPS przystosowany do urządzenia</w:t>
            </w:r>
          </w:p>
        </w:tc>
      </w:tr>
      <w:tr w:rsidR="007D33D3" w:rsidRPr="007D33D3" w:rsidTr="00931733">
        <w:trPr>
          <w:trHeight w:val="6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3D3" w:rsidRPr="007D33D3" w:rsidRDefault="007D33D3" w:rsidP="007D33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8E5D97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. Dodatkowy 12 - miesięczny kontrakt serwisowy pogwarancyjny wraz z wykonaniem jednego przeglądu w czasie trwania kontraktu (wraz z materiałami)</w:t>
            </w:r>
          </w:p>
        </w:tc>
      </w:tr>
      <w:tr w:rsidR="00931733" w:rsidRPr="007D33D3" w:rsidTr="00931733">
        <w:trPr>
          <w:trHeight w:val="60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733" w:rsidRPr="00931733" w:rsidRDefault="00931733" w:rsidP="00931733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931733">
              <w:rPr>
                <w:rFonts w:ascii="Times New Roman" w:eastAsia="Times New Roman" w:hAnsi="Times New Roman" w:cs="Times New Roman"/>
                <w:bCs/>
                <w:lang w:eastAsia="pl-PL"/>
              </w:rPr>
              <w:t>16. Gwarancja na urządzenie i oprogramowanie:</w:t>
            </w:r>
          </w:p>
          <w:p w:rsidR="00931733" w:rsidRPr="007D33D3" w:rsidRDefault="00931733" w:rsidP="00931733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- minimum 12 miesięcy 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gwarancji i rękojmi,</w:t>
            </w:r>
          </w:p>
          <w:p w:rsidR="00931733" w:rsidRPr="007D33D3" w:rsidRDefault="00931733" w:rsidP="00931733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- 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usługa gwarancyjna i pogwarancyjna świadczona przez autoryzowany przez producenta serwis na terenie Polski,</w:t>
            </w:r>
          </w:p>
          <w:p w:rsidR="00931733" w:rsidRPr="007D33D3" w:rsidRDefault="00931733" w:rsidP="00931733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>-czas reakcji serwisu na zgłoszenie e-mail lub telefoniczne</w:t>
            </w:r>
            <w:r w:rsidRPr="007D33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: max 5 dni roboczych,</w:t>
            </w:r>
          </w:p>
          <w:p w:rsidR="00931733" w:rsidRPr="007D33D3" w:rsidRDefault="00931733" w:rsidP="00931733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33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usunięcie uszkodzenia/awarii/usterki/wady: </w:t>
            </w:r>
            <w:r w:rsidRPr="007D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do 30 dni roboczych</w:t>
            </w:r>
            <w:r w:rsidRPr="007D33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931733" w:rsidRPr="007D33D3" w:rsidRDefault="00931733" w:rsidP="00931733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-w</w:t>
            </w:r>
            <w:r w:rsidRPr="007D33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ymiana podzespołu na nowy w przypadku wystąpienia trzech uszkodzeń, awarii, usterek lub wad tej samej części (w okresie gwarancji).</w:t>
            </w:r>
            <w:bookmarkStart w:id="0" w:name="_GoBack"/>
            <w:bookmarkEnd w:id="0"/>
          </w:p>
          <w:p w:rsidR="00931733" w:rsidRPr="007D33D3" w:rsidRDefault="00931733" w:rsidP="00931733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-w </w:t>
            </w:r>
            <w:r w:rsidRPr="007D33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przypadku braku możliwości usunięcia uszkodzenia/awarii/usterki/wady Wykonawca dostarczy sprzęt nowy o tych samych parametrach bez dodatkowych opłat (w okresie gwarancji).</w:t>
            </w:r>
          </w:p>
          <w:p w:rsidR="00931733" w:rsidRPr="007D33D3" w:rsidRDefault="00931733" w:rsidP="00931733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m</w:t>
            </w:r>
            <w:r w:rsidRPr="007D33D3">
              <w:rPr>
                <w:rFonts w:ascii="Times New Roman" w:eastAsia="Times New Roman" w:hAnsi="Times New Roman" w:cs="Times New Roman"/>
                <w:lang w:eastAsia="pl-PL"/>
              </w:rPr>
              <w:t xml:space="preserve">ożliwość zakupu nowych części zamiennych, materiałów eksploatacyjnych przez okres min. 3 lata licząc od podpisania protokołu końcowego odbioru przedmiotu umowy. </w:t>
            </w:r>
          </w:p>
        </w:tc>
      </w:tr>
    </w:tbl>
    <w:p w:rsidR="007851FC" w:rsidRDefault="007851FC"/>
    <w:sectPr w:rsidR="007851F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32C" w:rsidRDefault="007D532C" w:rsidP="00E86226">
      <w:pPr>
        <w:spacing w:after="0" w:line="240" w:lineRule="auto"/>
      </w:pPr>
      <w:r>
        <w:separator/>
      </w:r>
    </w:p>
  </w:endnote>
  <w:endnote w:type="continuationSeparator" w:id="0">
    <w:p w:rsidR="007D532C" w:rsidRDefault="007D532C" w:rsidP="00E86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32C" w:rsidRDefault="007D532C" w:rsidP="00E86226">
      <w:pPr>
        <w:spacing w:after="0" w:line="240" w:lineRule="auto"/>
      </w:pPr>
      <w:r>
        <w:separator/>
      </w:r>
    </w:p>
  </w:footnote>
  <w:footnote w:type="continuationSeparator" w:id="0">
    <w:p w:rsidR="007D532C" w:rsidRDefault="007D532C" w:rsidP="00E86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226" w:rsidRDefault="00E86226" w:rsidP="00E86226">
    <w:pPr>
      <w:pStyle w:val="Nagwek"/>
    </w:pPr>
    <w:r>
      <w:rPr>
        <w:noProof/>
      </w:rPr>
      <w:drawing>
        <wp:inline distT="0" distB="0" distL="0" distR="0" wp14:anchorId="29F18542" wp14:editId="3191FE08">
          <wp:extent cx="920707" cy="855456"/>
          <wp:effectExtent l="0" t="0" r="0" b="1905"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ro-pat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8365" cy="8811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</w:t>
    </w:r>
    <w:r>
      <w:rPr>
        <w:noProof/>
      </w:rPr>
      <w:drawing>
        <wp:inline distT="0" distB="0" distL="0" distR="0" wp14:anchorId="0917A044" wp14:editId="6A6C0BAB">
          <wp:extent cx="2435277" cy="854929"/>
          <wp:effectExtent l="0" t="0" r="6350" b="4445"/>
          <wp:docPr id="54" name="Obraz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cbr_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5277" cy="8549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86226" w:rsidRDefault="00E86226" w:rsidP="00E86226">
    <w:pPr>
      <w:pStyle w:val="Nagwek"/>
      <w:jc w:val="right"/>
    </w:pPr>
  </w:p>
  <w:p w:rsidR="00E86226" w:rsidRDefault="00E86226" w:rsidP="00E86226">
    <w:pPr>
      <w:pStyle w:val="Nagwek"/>
      <w:jc w:val="right"/>
    </w:pPr>
    <w:r>
      <w:t>Załącznik nr 1a do SWZ</w:t>
    </w:r>
  </w:p>
  <w:p w:rsidR="00E86226" w:rsidRDefault="00E86226" w:rsidP="00E86226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3D3"/>
    <w:rsid w:val="007851FC"/>
    <w:rsid w:val="007D33D3"/>
    <w:rsid w:val="007D532C"/>
    <w:rsid w:val="008E5D97"/>
    <w:rsid w:val="00931733"/>
    <w:rsid w:val="00E8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DB7A69"/>
  <w15:chartTrackingRefBased/>
  <w15:docId w15:val="{9D7C718F-5753-4568-9511-862737C7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6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6226"/>
  </w:style>
  <w:style w:type="paragraph" w:styleId="Stopka">
    <w:name w:val="footer"/>
    <w:basedOn w:val="Normalny"/>
    <w:link w:val="StopkaZnak"/>
    <w:uiPriority w:val="99"/>
    <w:unhideWhenUsed/>
    <w:rsid w:val="00E86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6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3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Kotarba</dc:creator>
  <cp:keywords/>
  <dc:description/>
  <cp:lastModifiedBy>Joanna Kotarba</cp:lastModifiedBy>
  <cp:revision>2</cp:revision>
  <dcterms:created xsi:type="dcterms:W3CDTF">2022-05-04T11:44:00Z</dcterms:created>
  <dcterms:modified xsi:type="dcterms:W3CDTF">2022-05-04T11:44:00Z</dcterms:modified>
</cp:coreProperties>
</file>