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4E5" w:rsidRPr="00F7750D" w:rsidRDefault="00C324E5" w:rsidP="00C324E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324E5" w:rsidRPr="00F7750D" w:rsidRDefault="00C324E5" w:rsidP="00C324E5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324E5" w:rsidRPr="00F7750D" w:rsidRDefault="00C324E5" w:rsidP="00C324E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324E5" w:rsidRPr="00F7750D" w:rsidRDefault="00C324E5" w:rsidP="00C324E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324E5" w:rsidRPr="00F7750D" w:rsidRDefault="00C324E5" w:rsidP="00C324E5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970FC1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970FC1">
        <w:rPr>
          <w:sz w:val="24"/>
          <w:szCs w:val="24"/>
        </w:rPr>
        <w:t>0</w:t>
      </w:r>
      <w:r w:rsidR="00473615">
        <w:rPr>
          <w:sz w:val="24"/>
          <w:szCs w:val="24"/>
        </w:rPr>
        <w:t>8</w:t>
      </w:r>
    </w:p>
    <w:p w:rsidR="00C324E5" w:rsidRPr="00F7750D" w:rsidRDefault="00C324E5" w:rsidP="00C324E5">
      <w:pPr>
        <w:rPr>
          <w:sz w:val="24"/>
          <w:szCs w:val="24"/>
        </w:rPr>
      </w:pPr>
    </w:p>
    <w:p w:rsidR="00C324E5" w:rsidRDefault="00C324E5" w:rsidP="00C324E5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C324E5" w:rsidRPr="00F7750D" w:rsidRDefault="00C324E5" w:rsidP="00C324E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324E5" w:rsidRPr="00F7750D" w:rsidRDefault="00C324E5" w:rsidP="00C324E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324E5" w:rsidRDefault="00C324E5" w:rsidP="00C324E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324E5" w:rsidRPr="001C278E" w:rsidRDefault="00C324E5" w:rsidP="00C324E5"/>
    <w:p w:rsidR="00C324E5" w:rsidRPr="000A1C0E" w:rsidRDefault="00C324E5" w:rsidP="00C324E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324E5" w:rsidRPr="000A1C0E" w:rsidRDefault="00C324E5" w:rsidP="00C324E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15</w:t>
      </w:r>
    </w:p>
    <w:p w:rsidR="00C324E5" w:rsidRDefault="00C324E5" w:rsidP="00C324E5">
      <w:pPr>
        <w:jc w:val="both"/>
        <w:rPr>
          <w:i/>
          <w:sz w:val="22"/>
          <w:szCs w:val="22"/>
        </w:rPr>
      </w:pPr>
    </w:p>
    <w:p w:rsidR="00C324E5" w:rsidRDefault="00C324E5" w:rsidP="00C324E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324E5" w:rsidRDefault="00C324E5" w:rsidP="00C324E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324E5" w:rsidRDefault="00C324E5" w:rsidP="00C324E5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C324E5" w:rsidRPr="00C81F26" w:rsidRDefault="00C324E5" w:rsidP="00C324E5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324E5" w:rsidRDefault="00C324E5" w:rsidP="00C324E5">
      <w:pPr>
        <w:jc w:val="both"/>
        <w:rPr>
          <w:b/>
          <w:sz w:val="22"/>
          <w:szCs w:val="22"/>
        </w:rPr>
      </w:pPr>
    </w:p>
    <w:p w:rsidR="00C324E5" w:rsidRDefault="00C324E5" w:rsidP="00C324E5">
      <w:pPr>
        <w:jc w:val="both"/>
        <w:rPr>
          <w:sz w:val="24"/>
          <w:szCs w:val="24"/>
        </w:rPr>
      </w:pPr>
    </w:p>
    <w:p w:rsidR="00C324E5" w:rsidRPr="00F7750D" w:rsidRDefault="00C324E5" w:rsidP="00C324E5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324E5" w:rsidRDefault="00C324E5" w:rsidP="00C324E5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B13AC" w:rsidRPr="00C324E5" w:rsidTr="003C5D0C">
        <w:tc>
          <w:tcPr>
            <w:tcW w:w="9356" w:type="dxa"/>
            <w:shd w:val="clear" w:color="auto" w:fill="auto"/>
          </w:tcPr>
          <w:p w:rsidR="009B13AC" w:rsidRPr="00C324E5" w:rsidRDefault="009B13AC" w:rsidP="00397CE5">
            <w:pPr>
              <w:ind w:left="318" w:right="-74" w:hanging="284"/>
              <w:jc w:val="both"/>
              <w:rPr>
                <w:sz w:val="24"/>
                <w:szCs w:val="24"/>
              </w:rPr>
            </w:pPr>
            <w:r w:rsidRPr="00C324E5">
              <w:rPr>
                <w:sz w:val="24"/>
                <w:szCs w:val="24"/>
              </w:rPr>
              <w:t xml:space="preserve">1. Czy Zamawiający wyrazi zgodę na podanie ceny jednostkowej za 1 szt. wyrobów </w:t>
            </w:r>
            <w:r w:rsidR="00C324E5">
              <w:rPr>
                <w:sz w:val="24"/>
                <w:szCs w:val="24"/>
              </w:rPr>
              <w:t xml:space="preserve">                             </w:t>
            </w:r>
            <w:r w:rsidRPr="00C324E5">
              <w:rPr>
                <w:sz w:val="24"/>
                <w:szCs w:val="24"/>
              </w:rPr>
              <w:t xml:space="preserve">z dokładnością do 3 lub 4 miejsc po przecinku, w pozycjach które trzeba wycenić </w:t>
            </w:r>
            <w:r w:rsidR="00397CE5">
              <w:rPr>
                <w:sz w:val="24"/>
                <w:szCs w:val="24"/>
              </w:rPr>
              <w:t xml:space="preserve">                         </w:t>
            </w:r>
            <w:r w:rsidRPr="00C324E5">
              <w:rPr>
                <w:sz w:val="24"/>
                <w:szCs w:val="24"/>
              </w:rPr>
              <w:t>w sztukach?</w:t>
            </w:r>
          </w:p>
          <w:p w:rsidR="009B13AC" w:rsidRPr="00C324E5" w:rsidRDefault="00397CE5" w:rsidP="00397CE5">
            <w:pPr>
              <w:ind w:left="318" w:right="-7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9B13AC" w:rsidRPr="00C324E5">
              <w:rPr>
                <w:sz w:val="24"/>
                <w:szCs w:val="24"/>
              </w:rPr>
              <w:t xml:space="preserve">Zgodnie z orzeczeniem zespołu Arbitrów – sygn. akt UZP/ZO/0-2546/06 dopuszcza się podawanie cen z dokładnością do trzech a nawet czterech miejsc po przecinku, dla wyrobów masowych, wówczas cena jednostkowa jest elementem kalkulacyjnym ceny wynikowej, a nie ceną transakcyjną. </w:t>
            </w:r>
          </w:p>
          <w:p w:rsidR="00C324E5" w:rsidRPr="00C324E5" w:rsidRDefault="00C324E5" w:rsidP="00397CE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9B13AC" w:rsidRDefault="00397CE5" w:rsidP="00397CE5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modyfikuje zapisu </w:t>
            </w:r>
            <w:r w:rsidR="00F8124F">
              <w:rPr>
                <w:sz w:val="24"/>
                <w:szCs w:val="24"/>
              </w:rPr>
              <w:t xml:space="preserve">w </w:t>
            </w:r>
            <w:proofErr w:type="spellStart"/>
            <w:r w:rsidR="00F8124F">
              <w:rPr>
                <w:sz w:val="24"/>
                <w:szCs w:val="24"/>
              </w:rPr>
              <w:t>pkt</w:t>
            </w:r>
            <w:proofErr w:type="spellEnd"/>
            <w:r w:rsidR="00F8124F">
              <w:rPr>
                <w:sz w:val="24"/>
                <w:szCs w:val="24"/>
              </w:rPr>
              <w:t xml:space="preserve"> 19.2. oraz 19.5. </w:t>
            </w:r>
            <w:r>
              <w:rPr>
                <w:sz w:val="24"/>
                <w:szCs w:val="24"/>
              </w:rPr>
              <w:t xml:space="preserve">SWZ. </w:t>
            </w:r>
          </w:p>
          <w:p w:rsidR="00397CE5" w:rsidRPr="00C324E5" w:rsidRDefault="00397CE5" w:rsidP="00397CE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B13AC" w:rsidRPr="00C324E5" w:rsidRDefault="00C324E5" w:rsidP="003C5D0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324E5">
              <w:rPr>
                <w:sz w:val="24"/>
                <w:szCs w:val="24"/>
                <w:u w:val="single"/>
              </w:rPr>
              <w:t>P</w:t>
            </w:r>
            <w:r w:rsidR="009B13AC" w:rsidRPr="00C324E5">
              <w:rPr>
                <w:sz w:val="24"/>
                <w:szCs w:val="24"/>
                <w:u w:val="single"/>
              </w:rPr>
              <w:t xml:space="preserve">akiet 25 poz.1 </w:t>
            </w:r>
          </w:p>
          <w:p w:rsidR="009B13AC" w:rsidRPr="00C324E5" w:rsidRDefault="00A27D2E" w:rsidP="00A27D2E">
            <w:pPr>
              <w:spacing w:after="120"/>
              <w:ind w:left="318" w:right="-72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B13AC" w:rsidRPr="00C324E5">
              <w:rPr>
                <w:sz w:val="24"/>
                <w:szCs w:val="24"/>
              </w:rPr>
              <w:t xml:space="preserve">Zwracamy się z prośbą do Zamawiającego o odstąpienie od pierwotnych wymogów </w:t>
            </w:r>
            <w:r w:rsidR="00C324E5">
              <w:rPr>
                <w:sz w:val="24"/>
                <w:szCs w:val="24"/>
              </w:rPr>
              <w:t xml:space="preserve">                        </w:t>
            </w:r>
            <w:r w:rsidR="009B13AC" w:rsidRPr="00C324E5">
              <w:rPr>
                <w:sz w:val="24"/>
                <w:szCs w:val="24"/>
              </w:rPr>
              <w:t>i dopuszcz</w:t>
            </w:r>
            <w:r>
              <w:rPr>
                <w:sz w:val="24"/>
                <w:szCs w:val="24"/>
              </w:rPr>
              <w:t>e</w:t>
            </w:r>
            <w:r w:rsidR="009B13AC" w:rsidRPr="00C324E5">
              <w:rPr>
                <w:sz w:val="24"/>
                <w:szCs w:val="24"/>
              </w:rPr>
              <w:t>nie strzykawki o poniższych parametrach:</w:t>
            </w:r>
          </w:p>
          <w:p w:rsidR="009B13AC" w:rsidRPr="00C324E5" w:rsidRDefault="009B13AC" w:rsidP="00F8124F">
            <w:pPr>
              <w:ind w:left="318" w:right="-74"/>
              <w:jc w:val="both"/>
              <w:rPr>
                <w:sz w:val="24"/>
                <w:szCs w:val="24"/>
              </w:rPr>
            </w:pPr>
            <w:r w:rsidRPr="00C324E5">
              <w:rPr>
                <w:sz w:val="24"/>
                <w:szCs w:val="24"/>
              </w:rPr>
              <w:t xml:space="preserve">Strzykawka jednorazowego użytku, dwuczęściowa, koncentryczna,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, o pojemności 2 ml skala 0,1 ml; nietoksyczna, bez zawartości </w:t>
            </w:r>
            <w:proofErr w:type="spellStart"/>
            <w:r w:rsidRPr="00C324E5">
              <w:rPr>
                <w:sz w:val="24"/>
                <w:szCs w:val="24"/>
              </w:rPr>
              <w:t>latexu</w:t>
            </w:r>
            <w:proofErr w:type="spellEnd"/>
            <w:r w:rsidRPr="00C324E5">
              <w:rPr>
                <w:sz w:val="24"/>
                <w:szCs w:val="24"/>
              </w:rPr>
              <w:t xml:space="preserve">, PCV, DEHP, </w:t>
            </w:r>
            <w:proofErr w:type="spellStart"/>
            <w:r w:rsidRPr="00C324E5">
              <w:rPr>
                <w:sz w:val="24"/>
                <w:szCs w:val="24"/>
              </w:rPr>
              <w:t>bisphenol</w:t>
            </w:r>
            <w:proofErr w:type="spellEnd"/>
            <w:r w:rsidRPr="00C324E5">
              <w:rPr>
                <w:sz w:val="24"/>
                <w:szCs w:val="24"/>
              </w:rPr>
              <w:t xml:space="preserve"> A, wykonana: cylinder-polipropylen, </w:t>
            </w:r>
            <w:proofErr w:type="spellStart"/>
            <w:r w:rsidRPr="00C324E5">
              <w:rPr>
                <w:sz w:val="24"/>
                <w:szCs w:val="24"/>
              </w:rPr>
              <w:t>tlok</w:t>
            </w:r>
            <w:proofErr w:type="spellEnd"/>
            <w:r w:rsidRPr="00C324E5">
              <w:rPr>
                <w:sz w:val="24"/>
                <w:szCs w:val="24"/>
              </w:rPr>
              <w:t xml:space="preserve"> polietylen, sterylizowana EO, pakowana pojedynczo (opakowanie typu blister). Na opakowaniu jednostkowym oznakowanie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 </w:t>
            </w:r>
            <w:proofErr w:type="spellStart"/>
            <w:r w:rsidRPr="00C324E5">
              <w:rPr>
                <w:sz w:val="24"/>
                <w:szCs w:val="24"/>
              </w:rPr>
              <w:t>Tip</w:t>
            </w:r>
            <w:proofErr w:type="spellEnd"/>
            <w:r w:rsidRPr="00C324E5">
              <w:rPr>
                <w:sz w:val="24"/>
                <w:szCs w:val="24"/>
              </w:rPr>
              <w:t xml:space="preserve"> (6%), potwierdzające spełnienie Normy EN-20594 lub normy PN-EN ISO 80369-7:2017-08 </w:t>
            </w:r>
            <w:r w:rsidR="00F8124F">
              <w:rPr>
                <w:sz w:val="24"/>
                <w:szCs w:val="24"/>
              </w:rPr>
              <w:t xml:space="preserve">                    </w:t>
            </w:r>
            <w:r w:rsidRPr="00C324E5">
              <w:rPr>
                <w:sz w:val="24"/>
                <w:szCs w:val="24"/>
              </w:rPr>
              <w:t xml:space="preserve">w zakresie rozmiaru stożka </w:t>
            </w:r>
            <w:proofErr w:type="spellStart"/>
            <w:r w:rsidRPr="00C324E5">
              <w:rPr>
                <w:sz w:val="24"/>
                <w:szCs w:val="24"/>
              </w:rPr>
              <w:t>Luer.Tłok</w:t>
            </w:r>
            <w:proofErr w:type="spellEnd"/>
            <w:r w:rsidRPr="00C324E5">
              <w:rPr>
                <w:sz w:val="24"/>
                <w:szCs w:val="24"/>
              </w:rPr>
              <w:t xml:space="preserve"> niekontrastujący, </w:t>
            </w:r>
            <w:proofErr w:type="spellStart"/>
            <w:r w:rsidRPr="00C324E5">
              <w:rPr>
                <w:sz w:val="24"/>
                <w:szCs w:val="24"/>
              </w:rPr>
              <w:t>biały.Oring</w:t>
            </w:r>
            <w:proofErr w:type="spellEnd"/>
            <w:r w:rsidRPr="00C324E5">
              <w:rPr>
                <w:sz w:val="24"/>
                <w:szCs w:val="24"/>
              </w:rPr>
              <w:t xml:space="preserve"> zabezpieczający przed wypadaniem tłoka, bezwzględna szczelność strzykawki. Czytelna skala, trwała niezmywalna skala w kolorze czarnym bez rozszerzenia, długość skali na cylindrze odpowiada pojemności nominalnej strzykawki. Logo producenta strzykawki na cylindrze, co pozwala na szybką i wiarygodną identyfikację bez opakowania jednorazowego. Op. 100szt. Na op. jednostkowym numer serii </w:t>
            </w:r>
            <w:r w:rsidR="00F8124F">
              <w:rPr>
                <w:sz w:val="24"/>
                <w:szCs w:val="24"/>
              </w:rPr>
              <w:t>i</w:t>
            </w:r>
            <w:r w:rsidRPr="00C324E5">
              <w:rPr>
                <w:sz w:val="24"/>
                <w:szCs w:val="24"/>
              </w:rPr>
              <w:t xml:space="preserve"> data ważności, kolorystyczne oznakowanie na op. zbiorczym w zależności od rozmiaru.</w:t>
            </w:r>
          </w:p>
          <w:p w:rsidR="009B13AC" w:rsidRDefault="00C324E5" w:rsidP="00F8124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A27D2E" w:rsidRPr="00A27D2E" w:rsidRDefault="00A27D2E" w:rsidP="00F8124F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A27D2E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nie </w:t>
            </w:r>
            <w:r w:rsidR="00401FAC">
              <w:rPr>
                <w:sz w:val="24"/>
                <w:szCs w:val="24"/>
              </w:rPr>
              <w:t xml:space="preserve">dopuszcza w Pakiecie nr 25 poz. 1 </w:t>
            </w:r>
            <w:r w:rsidR="00401FAC" w:rsidRPr="00C324E5">
              <w:rPr>
                <w:sz w:val="24"/>
                <w:szCs w:val="24"/>
              </w:rPr>
              <w:t>strzykaw</w:t>
            </w:r>
            <w:r w:rsidR="00401FAC">
              <w:rPr>
                <w:sz w:val="24"/>
                <w:szCs w:val="24"/>
              </w:rPr>
              <w:t>e</w:t>
            </w:r>
            <w:r w:rsidR="00401FAC" w:rsidRPr="00C324E5">
              <w:rPr>
                <w:sz w:val="24"/>
                <w:szCs w:val="24"/>
              </w:rPr>
              <w:t xml:space="preserve">k o </w:t>
            </w:r>
            <w:r w:rsidR="00401FAC">
              <w:rPr>
                <w:sz w:val="24"/>
                <w:szCs w:val="24"/>
              </w:rPr>
              <w:t>zaoferowany</w:t>
            </w:r>
            <w:r w:rsidR="00401FAC" w:rsidRPr="00C324E5">
              <w:rPr>
                <w:sz w:val="24"/>
                <w:szCs w:val="24"/>
              </w:rPr>
              <w:t>ch parametrach</w:t>
            </w:r>
            <w:r w:rsidR="00401FAC">
              <w:rPr>
                <w:sz w:val="24"/>
                <w:szCs w:val="24"/>
              </w:rPr>
              <w:t>.</w:t>
            </w:r>
          </w:p>
          <w:p w:rsidR="009B13AC" w:rsidRPr="00C324E5" w:rsidRDefault="00C324E5" w:rsidP="003C5D0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324E5">
              <w:rPr>
                <w:sz w:val="24"/>
                <w:szCs w:val="24"/>
                <w:u w:val="single"/>
              </w:rPr>
              <w:lastRenderedPageBreak/>
              <w:t>P</w:t>
            </w:r>
            <w:r w:rsidR="009B13AC" w:rsidRPr="00C324E5">
              <w:rPr>
                <w:sz w:val="24"/>
                <w:szCs w:val="24"/>
                <w:u w:val="single"/>
              </w:rPr>
              <w:t xml:space="preserve">akiet 25 poz. 2 </w:t>
            </w:r>
          </w:p>
          <w:p w:rsidR="009B13AC" w:rsidRPr="00C324E5" w:rsidRDefault="00C324E5" w:rsidP="00401FAC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9B13AC" w:rsidRPr="00C324E5">
              <w:rPr>
                <w:sz w:val="24"/>
                <w:szCs w:val="24"/>
              </w:rPr>
              <w:t xml:space="preserve">Zwracamy się z prośbą do Zamawiającego o odstąpienie od pierwotnych wymogów </w:t>
            </w:r>
            <w:r>
              <w:rPr>
                <w:sz w:val="24"/>
                <w:szCs w:val="24"/>
              </w:rPr>
              <w:t xml:space="preserve">                        </w:t>
            </w:r>
            <w:r w:rsidR="009B13AC" w:rsidRPr="00C324E5">
              <w:rPr>
                <w:sz w:val="24"/>
                <w:szCs w:val="24"/>
              </w:rPr>
              <w:t>i dopuszcz</w:t>
            </w:r>
            <w:r>
              <w:rPr>
                <w:sz w:val="24"/>
                <w:szCs w:val="24"/>
              </w:rPr>
              <w:t>e</w:t>
            </w:r>
            <w:r w:rsidR="009B13AC" w:rsidRPr="00C324E5">
              <w:rPr>
                <w:sz w:val="24"/>
                <w:szCs w:val="24"/>
              </w:rPr>
              <w:t>nie strzykawki o poniższych parametrach:</w:t>
            </w:r>
          </w:p>
          <w:p w:rsidR="009B13AC" w:rsidRPr="00C324E5" w:rsidRDefault="00401FAC" w:rsidP="00401FAC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9B13AC" w:rsidRPr="00C324E5">
              <w:rPr>
                <w:sz w:val="24"/>
                <w:szCs w:val="24"/>
              </w:rPr>
              <w:t xml:space="preserve">Jałowa strzykawka trzyczęściowa z końcówką </w:t>
            </w:r>
            <w:proofErr w:type="spellStart"/>
            <w:r w:rsidR="009B13AC" w:rsidRPr="00C324E5">
              <w:rPr>
                <w:sz w:val="24"/>
                <w:szCs w:val="24"/>
              </w:rPr>
              <w:t>luer-lock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, pojemność 3 ml , tłok i cylinder wykonane z polipropylenu, bez zawartości lateksu, PCV, DEHP, kompatybilne z lekami cytostatycznymi, czarna niezmywalna, jednostronna skala co 0,1ml, logo producenta i typ strzykawki na cylindrze, podwójny pierścień zabezpieczający chroniący przed przypadkowym wysunięciem tłoka. opakowanie 200 szt. </w:t>
            </w:r>
          </w:p>
          <w:p w:rsidR="00401FAC" w:rsidRDefault="00401FAC" w:rsidP="00401FA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401FAC" w:rsidRPr="00A27D2E" w:rsidRDefault="00401FAC" w:rsidP="00401FAC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A27D2E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nie dopuszcza w Pakiecie nr 25 poz. 2 </w:t>
            </w:r>
            <w:r w:rsidRPr="00C324E5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C324E5">
              <w:rPr>
                <w:sz w:val="24"/>
                <w:szCs w:val="24"/>
              </w:rPr>
              <w:t xml:space="preserve">k o </w:t>
            </w:r>
            <w:r>
              <w:rPr>
                <w:sz w:val="24"/>
                <w:szCs w:val="24"/>
              </w:rPr>
              <w:t>zaoferowany</w:t>
            </w:r>
            <w:r w:rsidRPr="00C324E5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9B13AC" w:rsidRPr="00C324E5" w:rsidRDefault="009B13AC" w:rsidP="00401FA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B13AC" w:rsidRPr="00C324E5" w:rsidRDefault="00C324E5" w:rsidP="003C5D0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324E5">
              <w:rPr>
                <w:sz w:val="24"/>
                <w:szCs w:val="24"/>
                <w:u w:val="single"/>
              </w:rPr>
              <w:t>P</w:t>
            </w:r>
            <w:r w:rsidR="009B13AC" w:rsidRPr="00C324E5">
              <w:rPr>
                <w:sz w:val="24"/>
                <w:szCs w:val="24"/>
                <w:u w:val="single"/>
              </w:rPr>
              <w:t xml:space="preserve">akiet 25 poz.3 </w:t>
            </w:r>
          </w:p>
          <w:p w:rsidR="009B13AC" w:rsidRPr="00C324E5" w:rsidRDefault="00C324E5" w:rsidP="00401FAC">
            <w:p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9B13AC" w:rsidRPr="00C324E5">
              <w:rPr>
                <w:sz w:val="24"/>
                <w:szCs w:val="24"/>
              </w:rPr>
              <w:t xml:space="preserve">Zwracamy się z prośbą do Zamawiającego o odstąpienie od pierwotnych wymogów </w:t>
            </w:r>
            <w:r>
              <w:rPr>
                <w:sz w:val="24"/>
                <w:szCs w:val="24"/>
              </w:rPr>
              <w:t xml:space="preserve">                      </w:t>
            </w:r>
            <w:r w:rsidR="00401FAC">
              <w:rPr>
                <w:sz w:val="24"/>
                <w:szCs w:val="24"/>
              </w:rPr>
              <w:t xml:space="preserve">  </w:t>
            </w:r>
            <w:r w:rsidR="009B13AC" w:rsidRPr="00C324E5">
              <w:rPr>
                <w:sz w:val="24"/>
                <w:szCs w:val="24"/>
              </w:rPr>
              <w:t>i dopuszcz</w:t>
            </w:r>
            <w:r>
              <w:rPr>
                <w:sz w:val="24"/>
                <w:szCs w:val="24"/>
              </w:rPr>
              <w:t>e</w:t>
            </w:r>
            <w:r w:rsidR="009B13AC" w:rsidRPr="00C324E5">
              <w:rPr>
                <w:sz w:val="24"/>
                <w:szCs w:val="24"/>
              </w:rPr>
              <w:t>nie strzykawki o poniższych parametrach:</w:t>
            </w:r>
          </w:p>
          <w:p w:rsidR="009B13AC" w:rsidRPr="00C324E5" w:rsidRDefault="009B13AC" w:rsidP="00FB38E9">
            <w:pPr>
              <w:ind w:left="318" w:right="-72"/>
              <w:jc w:val="both"/>
              <w:rPr>
                <w:sz w:val="24"/>
                <w:szCs w:val="24"/>
              </w:rPr>
            </w:pPr>
            <w:r w:rsidRPr="00C324E5">
              <w:rPr>
                <w:sz w:val="24"/>
                <w:szCs w:val="24"/>
              </w:rPr>
              <w:t xml:space="preserve">Strzykawka jednorazowego użytku, dwuczęściowa, mimośrodkowa,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, o pojemności 5 ml skala 0,2 ml; nietoksyczna, bez zawartości </w:t>
            </w:r>
            <w:proofErr w:type="spellStart"/>
            <w:r w:rsidRPr="00C324E5">
              <w:rPr>
                <w:sz w:val="24"/>
                <w:szCs w:val="24"/>
              </w:rPr>
              <w:t>latexu</w:t>
            </w:r>
            <w:proofErr w:type="spellEnd"/>
            <w:r w:rsidRPr="00C324E5">
              <w:rPr>
                <w:sz w:val="24"/>
                <w:szCs w:val="24"/>
              </w:rPr>
              <w:t xml:space="preserve">, PCV, DEHP, </w:t>
            </w:r>
            <w:proofErr w:type="spellStart"/>
            <w:r w:rsidRPr="00C324E5">
              <w:rPr>
                <w:sz w:val="24"/>
                <w:szCs w:val="24"/>
              </w:rPr>
              <w:t>bisphenol</w:t>
            </w:r>
            <w:proofErr w:type="spellEnd"/>
            <w:r w:rsidRPr="00C324E5">
              <w:rPr>
                <w:sz w:val="24"/>
                <w:szCs w:val="24"/>
              </w:rPr>
              <w:t xml:space="preserve"> A, wykonana: cylinder-polipropylen, tłok polietylen, sterylizowana EO; pakowana pojedynczo (opakowanie typu blister). Na opakowaniu jednostkowym oznakowanie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 </w:t>
            </w:r>
            <w:proofErr w:type="spellStart"/>
            <w:r w:rsidRPr="00C324E5">
              <w:rPr>
                <w:sz w:val="24"/>
                <w:szCs w:val="24"/>
              </w:rPr>
              <w:t>Tip</w:t>
            </w:r>
            <w:proofErr w:type="spellEnd"/>
            <w:r w:rsidRPr="00C324E5">
              <w:rPr>
                <w:sz w:val="24"/>
                <w:szCs w:val="24"/>
              </w:rPr>
              <w:t xml:space="preserve"> (6%), potwierdzające spełnienie Normy EN-20594 lub normy PN-EN ISO 80369-7:2017-08 </w:t>
            </w:r>
            <w:r w:rsidR="00E13356">
              <w:rPr>
                <w:sz w:val="24"/>
                <w:szCs w:val="24"/>
              </w:rPr>
              <w:t xml:space="preserve"> </w:t>
            </w:r>
            <w:r w:rsidRPr="00C324E5">
              <w:rPr>
                <w:sz w:val="24"/>
                <w:szCs w:val="24"/>
              </w:rPr>
              <w:t xml:space="preserve"> </w:t>
            </w:r>
            <w:r w:rsidR="00E13356">
              <w:rPr>
                <w:sz w:val="24"/>
                <w:szCs w:val="24"/>
              </w:rPr>
              <w:t xml:space="preserve">                          w </w:t>
            </w:r>
            <w:r w:rsidRPr="00C324E5">
              <w:rPr>
                <w:sz w:val="24"/>
                <w:szCs w:val="24"/>
              </w:rPr>
              <w:t xml:space="preserve">zakresie rozmiaru stożka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. Tłok niekontrastujący, biały. </w:t>
            </w:r>
            <w:proofErr w:type="spellStart"/>
            <w:r w:rsidRPr="00C324E5">
              <w:rPr>
                <w:sz w:val="24"/>
                <w:szCs w:val="24"/>
              </w:rPr>
              <w:t>Oring</w:t>
            </w:r>
            <w:proofErr w:type="spellEnd"/>
            <w:r w:rsidRPr="00C324E5">
              <w:rPr>
                <w:sz w:val="24"/>
                <w:szCs w:val="24"/>
              </w:rPr>
              <w:t xml:space="preserve"> zabezpieczający przed wypadaniem tłoka, bezwzględna szczelność strzykawki. Czytelna skala, trwała niezmywalna skala w kolorze czarnym bez </w:t>
            </w:r>
            <w:proofErr w:type="spellStart"/>
            <w:r w:rsidRPr="00C324E5">
              <w:rPr>
                <w:sz w:val="24"/>
                <w:szCs w:val="24"/>
              </w:rPr>
              <w:t>roszerzenia</w:t>
            </w:r>
            <w:proofErr w:type="spellEnd"/>
            <w:r w:rsidRPr="00C324E5">
              <w:rPr>
                <w:sz w:val="24"/>
                <w:szCs w:val="24"/>
              </w:rPr>
              <w:t>, długość skali na cylindrze odpowiada pojemności nominalnej strzykawki. Logo producenta strzykawki na cylindrze, co pozwala na szybką i wiarygodną identyfikację bez opakowania jednorazowego. Op. 100szt. Na op. jednostkowym numer serii</w:t>
            </w:r>
            <w:r w:rsidR="00E13356">
              <w:rPr>
                <w:sz w:val="24"/>
                <w:szCs w:val="24"/>
              </w:rPr>
              <w:t xml:space="preserve"> </w:t>
            </w:r>
            <w:r w:rsidRPr="00C324E5">
              <w:rPr>
                <w:sz w:val="24"/>
                <w:szCs w:val="24"/>
              </w:rPr>
              <w:t>i data ważności, kolorystyczne oznakowanie na op. zbiorczym w zależności od rozmiaru.</w:t>
            </w:r>
          </w:p>
          <w:p w:rsidR="00FB38E9" w:rsidRDefault="00FB38E9" w:rsidP="00FB38E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FB38E9" w:rsidRPr="00A27D2E" w:rsidRDefault="00FB38E9" w:rsidP="00FB38E9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A27D2E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nie dopuszcza w Pakiecie nr 25 poz. 3 </w:t>
            </w:r>
            <w:r w:rsidRPr="00C324E5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C324E5">
              <w:rPr>
                <w:sz w:val="24"/>
                <w:szCs w:val="24"/>
              </w:rPr>
              <w:t xml:space="preserve">k o </w:t>
            </w:r>
            <w:r>
              <w:rPr>
                <w:sz w:val="24"/>
                <w:szCs w:val="24"/>
              </w:rPr>
              <w:t>zaoferowany</w:t>
            </w:r>
            <w:r w:rsidRPr="00C324E5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9B13AC" w:rsidRPr="00C324E5" w:rsidRDefault="009B13AC" w:rsidP="00FB38E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B13AC" w:rsidRPr="00C324E5" w:rsidRDefault="00C324E5" w:rsidP="003C5D0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324E5">
              <w:rPr>
                <w:sz w:val="24"/>
                <w:szCs w:val="24"/>
                <w:u w:val="single"/>
              </w:rPr>
              <w:t>P</w:t>
            </w:r>
            <w:r w:rsidR="009B13AC" w:rsidRPr="00C324E5">
              <w:rPr>
                <w:sz w:val="24"/>
                <w:szCs w:val="24"/>
                <w:u w:val="single"/>
              </w:rPr>
              <w:t xml:space="preserve">akiet 25 poz.4 </w:t>
            </w:r>
          </w:p>
          <w:p w:rsidR="009B13AC" w:rsidRPr="00C324E5" w:rsidRDefault="00C324E5" w:rsidP="00FB38E9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9B13AC" w:rsidRPr="00C324E5">
              <w:rPr>
                <w:sz w:val="24"/>
                <w:szCs w:val="24"/>
              </w:rPr>
              <w:t xml:space="preserve">Zwracamy się z prośbą do Zamawiającego o odstąpienie od pierwotnych wymogów </w:t>
            </w:r>
            <w:r>
              <w:rPr>
                <w:sz w:val="24"/>
                <w:szCs w:val="24"/>
              </w:rPr>
              <w:t xml:space="preserve">                        </w:t>
            </w:r>
            <w:r w:rsidR="009B13AC" w:rsidRPr="00C324E5">
              <w:rPr>
                <w:sz w:val="24"/>
                <w:szCs w:val="24"/>
              </w:rPr>
              <w:t>i dopuszcz</w:t>
            </w:r>
            <w:r>
              <w:rPr>
                <w:sz w:val="24"/>
                <w:szCs w:val="24"/>
              </w:rPr>
              <w:t>e</w:t>
            </w:r>
            <w:r w:rsidR="009B13AC" w:rsidRPr="00C324E5">
              <w:rPr>
                <w:sz w:val="24"/>
                <w:szCs w:val="24"/>
              </w:rPr>
              <w:t>nie strzykawki o poniższych parametrach:</w:t>
            </w:r>
          </w:p>
          <w:p w:rsidR="009B13AC" w:rsidRPr="00C324E5" w:rsidRDefault="00FB38E9" w:rsidP="00FB38E9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9B13AC" w:rsidRPr="00C324E5">
              <w:rPr>
                <w:sz w:val="24"/>
                <w:szCs w:val="24"/>
              </w:rPr>
              <w:t xml:space="preserve">Strzykawka jednorazowego użytku, dwuczęściowa, mimośrodkowa, </w:t>
            </w:r>
            <w:proofErr w:type="spellStart"/>
            <w:r w:rsidR="009B13AC" w:rsidRPr="00C324E5">
              <w:rPr>
                <w:sz w:val="24"/>
                <w:szCs w:val="24"/>
              </w:rPr>
              <w:t>luer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, o pojemności 10 ml skala 0,5ml; nietoksyczna, bez zawartości </w:t>
            </w:r>
            <w:proofErr w:type="spellStart"/>
            <w:r w:rsidR="009B13AC" w:rsidRPr="00C324E5">
              <w:rPr>
                <w:sz w:val="24"/>
                <w:szCs w:val="24"/>
              </w:rPr>
              <w:t>latexu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, PCV, DEHP, </w:t>
            </w:r>
            <w:proofErr w:type="spellStart"/>
            <w:r w:rsidR="009B13AC" w:rsidRPr="00C324E5">
              <w:rPr>
                <w:sz w:val="24"/>
                <w:szCs w:val="24"/>
              </w:rPr>
              <w:t>bisphenol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A, wykonana: cylinder-polipropylen, tłok polietylen, sterylizowana </w:t>
            </w:r>
            <w:proofErr w:type="spellStart"/>
            <w:r w:rsidR="009B13AC" w:rsidRPr="00C324E5">
              <w:rPr>
                <w:sz w:val="24"/>
                <w:szCs w:val="24"/>
              </w:rPr>
              <w:t>EO.Pakowana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pojedynczo (opakowanie typu blister).Na opakowaniu jednostkowym oznakowanie </w:t>
            </w:r>
            <w:proofErr w:type="spellStart"/>
            <w:r w:rsidR="009B13AC" w:rsidRPr="00C324E5">
              <w:rPr>
                <w:sz w:val="24"/>
                <w:szCs w:val="24"/>
              </w:rPr>
              <w:t>Luer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</w:t>
            </w:r>
            <w:proofErr w:type="spellStart"/>
            <w:r w:rsidR="009B13AC" w:rsidRPr="00C324E5">
              <w:rPr>
                <w:sz w:val="24"/>
                <w:szCs w:val="24"/>
              </w:rPr>
              <w:t>Tip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(6%), potwierdzające spe</w:t>
            </w:r>
            <w:r w:rsidR="00236326">
              <w:rPr>
                <w:sz w:val="24"/>
                <w:szCs w:val="24"/>
              </w:rPr>
              <w:t>ł</w:t>
            </w:r>
            <w:r w:rsidR="009B13AC" w:rsidRPr="00C324E5">
              <w:rPr>
                <w:sz w:val="24"/>
                <w:szCs w:val="24"/>
              </w:rPr>
              <w:t xml:space="preserve">nienie Normy EN-20594 lub normy PN-EN ISO 80369-7:2017-08 </w:t>
            </w:r>
            <w:r>
              <w:rPr>
                <w:sz w:val="24"/>
                <w:szCs w:val="24"/>
              </w:rPr>
              <w:t xml:space="preserve">                      </w:t>
            </w:r>
            <w:r w:rsidR="009B13AC" w:rsidRPr="00C324E5">
              <w:rPr>
                <w:sz w:val="24"/>
                <w:szCs w:val="24"/>
              </w:rPr>
              <w:t xml:space="preserve">w zakresie rozmiaru stożka </w:t>
            </w:r>
            <w:proofErr w:type="spellStart"/>
            <w:r w:rsidR="009B13AC" w:rsidRPr="00C324E5">
              <w:rPr>
                <w:sz w:val="24"/>
                <w:szCs w:val="24"/>
              </w:rPr>
              <w:t>Luer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. Tłok niekontrastujący, biały; </w:t>
            </w:r>
            <w:proofErr w:type="spellStart"/>
            <w:r w:rsidR="009B13AC" w:rsidRPr="00C324E5">
              <w:rPr>
                <w:sz w:val="24"/>
                <w:szCs w:val="24"/>
              </w:rPr>
              <w:t>oring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zabezpieczający przed wypadaniem tłoka, bezwzględna szczelność strzykawki. Czytelna skala, trwała niezmywalna skala w kolorze czarnym bez rozszerzenia, d</w:t>
            </w:r>
            <w:r w:rsidR="00E13356">
              <w:rPr>
                <w:sz w:val="24"/>
                <w:szCs w:val="24"/>
              </w:rPr>
              <w:t>ł</w:t>
            </w:r>
            <w:r w:rsidR="009B13AC" w:rsidRPr="00C324E5">
              <w:rPr>
                <w:sz w:val="24"/>
                <w:szCs w:val="24"/>
              </w:rPr>
              <w:t>ugość skali na cylindrze odpowiada pojemności nominalnej strzykawki. Logo producenta strzykawki na cylindrze, co pozwala na szybką i wiarygodną identyfikację bez opakowania jednorazowego. Op. 100szt. Na op. jednostkowym numer serii</w:t>
            </w:r>
            <w:r>
              <w:rPr>
                <w:sz w:val="24"/>
                <w:szCs w:val="24"/>
              </w:rPr>
              <w:t xml:space="preserve"> </w:t>
            </w:r>
            <w:r w:rsidR="009B13AC" w:rsidRPr="00C324E5">
              <w:rPr>
                <w:sz w:val="24"/>
                <w:szCs w:val="24"/>
              </w:rPr>
              <w:t>i data ważności; kolorystyczne oznakowanie na op. zbiorczym w zależności od rozmiaru.</w:t>
            </w:r>
          </w:p>
          <w:p w:rsidR="00FB38E9" w:rsidRDefault="00FB38E9" w:rsidP="00FB38E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FB38E9" w:rsidRPr="00A27D2E" w:rsidRDefault="00FB38E9" w:rsidP="00FB38E9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A27D2E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nie dopuszcza w Pakiecie nr 25 poz. 4 </w:t>
            </w:r>
            <w:r w:rsidRPr="00C324E5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C324E5">
              <w:rPr>
                <w:sz w:val="24"/>
                <w:szCs w:val="24"/>
              </w:rPr>
              <w:t xml:space="preserve">k o </w:t>
            </w:r>
            <w:r>
              <w:rPr>
                <w:sz w:val="24"/>
                <w:szCs w:val="24"/>
              </w:rPr>
              <w:t>zaoferowany</w:t>
            </w:r>
            <w:r w:rsidRPr="00C324E5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9B13AC" w:rsidRDefault="009B13AC" w:rsidP="003C5D0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B38E9" w:rsidRDefault="00FB38E9" w:rsidP="003C5D0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B38E9" w:rsidRPr="00C324E5" w:rsidRDefault="00FB38E9" w:rsidP="003C5D0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B38E9" w:rsidRDefault="00FB38E9" w:rsidP="00FB38E9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9B13AC" w:rsidRPr="00236326" w:rsidRDefault="00236326" w:rsidP="003C5D0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36326">
              <w:rPr>
                <w:sz w:val="24"/>
                <w:szCs w:val="24"/>
                <w:u w:val="single"/>
              </w:rPr>
              <w:t>P</w:t>
            </w:r>
            <w:r w:rsidR="009B13AC" w:rsidRPr="00236326">
              <w:rPr>
                <w:sz w:val="24"/>
                <w:szCs w:val="24"/>
                <w:u w:val="single"/>
              </w:rPr>
              <w:t xml:space="preserve">akiet 25 poz.5 </w:t>
            </w:r>
          </w:p>
          <w:p w:rsidR="009B13AC" w:rsidRPr="00C324E5" w:rsidRDefault="00236326" w:rsidP="00FB38E9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="009B13AC" w:rsidRPr="00C324E5">
              <w:rPr>
                <w:sz w:val="24"/>
                <w:szCs w:val="24"/>
              </w:rPr>
              <w:t xml:space="preserve">Zwracamy się z prośbą do Zamawiającego o odstąpienie od pierwotnych wymogów </w:t>
            </w:r>
            <w:r>
              <w:rPr>
                <w:sz w:val="24"/>
                <w:szCs w:val="24"/>
              </w:rPr>
              <w:t xml:space="preserve">                            </w:t>
            </w:r>
            <w:r w:rsidR="009B13AC" w:rsidRPr="00C324E5">
              <w:rPr>
                <w:sz w:val="24"/>
                <w:szCs w:val="24"/>
              </w:rPr>
              <w:t>i dopuszcz</w:t>
            </w:r>
            <w:r w:rsidR="00FB38E9">
              <w:rPr>
                <w:sz w:val="24"/>
                <w:szCs w:val="24"/>
              </w:rPr>
              <w:t>e</w:t>
            </w:r>
            <w:r w:rsidR="009B13AC" w:rsidRPr="00C324E5">
              <w:rPr>
                <w:sz w:val="24"/>
                <w:szCs w:val="24"/>
              </w:rPr>
              <w:t>nie strzykawki o poniższych parametrach:</w:t>
            </w:r>
          </w:p>
          <w:p w:rsidR="009B13AC" w:rsidRPr="00C324E5" w:rsidRDefault="009B13AC" w:rsidP="00C958C6">
            <w:pPr>
              <w:ind w:left="318" w:right="-74"/>
              <w:jc w:val="both"/>
              <w:rPr>
                <w:sz w:val="24"/>
                <w:szCs w:val="24"/>
              </w:rPr>
            </w:pPr>
            <w:r w:rsidRPr="00C324E5">
              <w:rPr>
                <w:sz w:val="24"/>
                <w:szCs w:val="24"/>
              </w:rPr>
              <w:t xml:space="preserve">Strzykawka jednorazowego użytku, dwuczęściowa, mimośrodkowa,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, o pojemności 20 ml skala 1 ml; nietoksyczna, bez zawartości </w:t>
            </w:r>
            <w:proofErr w:type="spellStart"/>
            <w:r w:rsidRPr="00C324E5">
              <w:rPr>
                <w:sz w:val="24"/>
                <w:szCs w:val="24"/>
              </w:rPr>
              <w:t>latexu</w:t>
            </w:r>
            <w:proofErr w:type="spellEnd"/>
            <w:r w:rsidRPr="00C324E5">
              <w:rPr>
                <w:sz w:val="24"/>
                <w:szCs w:val="24"/>
              </w:rPr>
              <w:t xml:space="preserve">, PCV, DEHP, </w:t>
            </w:r>
            <w:proofErr w:type="spellStart"/>
            <w:r w:rsidRPr="00C324E5">
              <w:rPr>
                <w:sz w:val="24"/>
                <w:szCs w:val="24"/>
              </w:rPr>
              <w:t>bisphenol</w:t>
            </w:r>
            <w:proofErr w:type="spellEnd"/>
            <w:r w:rsidRPr="00C324E5">
              <w:rPr>
                <w:sz w:val="24"/>
                <w:szCs w:val="24"/>
              </w:rPr>
              <w:t xml:space="preserve"> A, wykonana: cylinder-polipropylen, </w:t>
            </w:r>
            <w:proofErr w:type="spellStart"/>
            <w:r w:rsidRPr="00C324E5">
              <w:rPr>
                <w:sz w:val="24"/>
                <w:szCs w:val="24"/>
              </w:rPr>
              <w:t>tlok</w:t>
            </w:r>
            <w:proofErr w:type="spellEnd"/>
            <w:r w:rsidRPr="00C324E5">
              <w:rPr>
                <w:sz w:val="24"/>
                <w:szCs w:val="24"/>
              </w:rPr>
              <w:t xml:space="preserve"> polietylen, sterylizowana EO; pakowana pojedynczo (opakowanie typu blister). Na opakowaniu jednostkowym oznakowanie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 </w:t>
            </w:r>
            <w:proofErr w:type="spellStart"/>
            <w:r w:rsidRPr="00C324E5">
              <w:rPr>
                <w:sz w:val="24"/>
                <w:szCs w:val="24"/>
              </w:rPr>
              <w:t>Tip</w:t>
            </w:r>
            <w:proofErr w:type="spellEnd"/>
            <w:r w:rsidRPr="00C324E5">
              <w:rPr>
                <w:sz w:val="24"/>
                <w:szCs w:val="24"/>
              </w:rPr>
              <w:t xml:space="preserve"> (6%), potwierdzające spełnienie Normy EN-20594 lub normy PN-EN ISO 80369-7:2017-08 </w:t>
            </w:r>
            <w:r w:rsidR="00C958C6">
              <w:rPr>
                <w:sz w:val="24"/>
                <w:szCs w:val="24"/>
              </w:rPr>
              <w:t xml:space="preserve">                   </w:t>
            </w:r>
            <w:r w:rsidRPr="00C324E5">
              <w:rPr>
                <w:sz w:val="24"/>
                <w:szCs w:val="24"/>
              </w:rPr>
              <w:t xml:space="preserve">w zakresie rozmiaru stożka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. Tłok niekontrastujący, biały. </w:t>
            </w:r>
            <w:proofErr w:type="spellStart"/>
            <w:r w:rsidRPr="00C324E5">
              <w:rPr>
                <w:sz w:val="24"/>
                <w:szCs w:val="24"/>
              </w:rPr>
              <w:t>Oring</w:t>
            </w:r>
            <w:proofErr w:type="spellEnd"/>
            <w:r w:rsidRPr="00C324E5">
              <w:rPr>
                <w:sz w:val="24"/>
                <w:szCs w:val="24"/>
              </w:rPr>
              <w:t xml:space="preserve"> zabezpieczający przed wypadaniem tłoka, bezwzględna szczelność strzykawki. Czytelna skala, trwała niezmywalna skala w kolorze czarnym bez rozszerzenia, długość skali na cylindrze odpowiada pojemności nominalnej strzykawki. Logo producenta strzykawki na cylindrze, co pozwala na szybką i wiarygodną identyfikację bez opakowania jednorazowego. Opakowanie 80szt. Na op. jednostkowym numer serii i data ważności; kolorystyczne oznakowanie na op. zbiorczym w zależności od rozmiaru.</w:t>
            </w:r>
          </w:p>
          <w:p w:rsidR="00236326" w:rsidRPr="00C324E5" w:rsidRDefault="00236326" w:rsidP="00C958C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0E398C" w:rsidRPr="00A27D2E" w:rsidRDefault="000E398C" w:rsidP="000E398C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A27D2E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nie dopuszcza w Pakiecie nr 25 poz. </w:t>
            </w:r>
            <w:r w:rsidR="001B4D6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Pr="00C324E5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C324E5">
              <w:rPr>
                <w:sz w:val="24"/>
                <w:szCs w:val="24"/>
              </w:rPr>
              <w:t xml:space="preserve">k o </w:t>
            </w:r>
            <w:r>
              <w:rPr>
                <w:sz w:val="24"/>
                <w:szCs w:val="24"/>
              </w:rPr>
              <w:t>zaoferowany</w:t>
            </w:r>
            <w:r w:rsidRPr="00C324E5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9B13AC" w:rsidRPr="00C324E5" w:rsidRDefault="009B13AC" w:rsidP="001B4D6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B13AC" w:rsidRPr="00236326" w:rsidRDefault="00236326" w:rsidP="003C5D0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36326">
              <w:rPr>
                <w:sz w:val="24"/>
                <w:szCs w:val="24"/>
                <w:u w:val="single"/>
              </w:rPr>
              <w:t>P</w:t>
            </w:r>
            <w:r w:rsidR="009B13AC" w:rsidRPr="00236326">
              <w:rPr>
                <w:sz w:val="24"/>
                <w:szCs w:val="24"/>
                <w:u w:val="single"/>
              </w:rPr>
              <w:t xml:space="preserve">akiet 25 poz.6 </w:t>
            </w:r>
          </w:p>
          <w:p w:rsidR="009B13AC" w:rsidRPr="00C324E5" w:rsidRDefault="00236326" w:rsidP="001B4D6F">
            <w:pPr>
              <w:ind w:left="318" w:right="-7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 w:rsidR="009B13AC" w:rsidRPr="00C324E5">
              <w:rPr>
                <w:sz w:val="24"/>
                <w:szCs w:val="24"/>
              </w:rPr>
              <w:t xml:space="preserve">Czy Zamawiający wyrazi zgodę na zaoferowanie strzykawki w opakowaniu zbiorczym </w:t>
            </w:r>
            <w:r w:rsidR="001B4D6F">
              <w:rPr>
                <w:sz w:val="24"/>
                <w:szCs w:val="24"/>
              </w:rPr>
              <w:t xml:space="preserve"> </w:t>
            </w:r>
            <w:r w:rsidR="009B13AC" w:rsidRPr="00C324E5">
              <w:rPr>
                <w:sz w:val="24"/>
                <w:szCs w:val="24"/>
              </w:rPr>
              <w:t>120szt z odpowiednim przeliczeniem ilości?</w:t>
            </w:r>
          </w:p>
          <w:p w:rsidR="00236326" w:rsidRPr="00C324E5" w:rsidRDefault="00236326" w:rsidP="001B4D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9B13AC" w:rsidRDefault="001B4D6F" w:rsidP="003C5D0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25 poz. 6 </w:t>
            </w:r>
            <w:r w:rsidRPr="00C324E5">
              <w:rPr>
                <w:sz w:val="24"/>
                <w:szCs w:val="24"/>
              </w:rPr>
              <w:t>strzykawki w opakowaniu zbiorczym 120</w:t>
            </w:r>
            <w:r>
              <w:rPr>
                <w:sz w:val="24"/>
                <w:szCs w:val="24"/>
              </w:rPr>
              <w:t xml:space="preserve"> </w:t>
            </w:r>
            <w:r w:rsidRPr="00C324E5">
              <w:rPr>
                <w:sz w:val="24"/>
                <w:szCs w:val="24"/>
              </w:rPr>
              <w:t>szt</w:t>
            </w:r>
            <w:r>
              <w:rPr>
                <w:sz w:val="24"/>
                <w:szCs w:val="24"/>
              </w:rPr>
              <w:t>.</w:t>
            </w:r>
            <w:r w:rsidRPr="00C324E5">
              <w:rPr>
                <w:sz w:val="24"/>
                <w:szCs w:val="24"/>
              </w:rPr>
              <w:t xml:space="preserve"> z odpowiednim przeliczeniem ilości</w:t>
            </w:r>
            <w:r>
              <w:rPr>
                <w:sz w:val="24"/>
                <w:szCs w:val="24"/>
              </w:rPr>
              <w:t>.</w:t>
            </w:r>
          </w:p>
          <w:p w:rsidR="001B4D6F" w:rsidRPr="00C324E5" w:rsidRDefault="001B4D6F" w:rsidP="001B4D6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B13AC" w:rsidRPr="00236326" w:rsidRDefault="00236326" w:rsidP="003C5D0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36326">
              <w:rPr>
                <w:sz w:val="24"/>
                <w:szCs w:val="24"/>
                <w:u w:val="single"/>
              </w:rPr>
              <w:t>P</w:t>
            </w:r>
            <w:r w:rsidR="009B13AC" w:rsidRPr="00236326">
              <w:rPr>
                <w:sz w:val="24"/>
                <w:szCs w:val="24"/>
                <w:u w:val="single"/>
              </w:rPr>
              <w:t xml:space="preserve">akiet 25 poz.7 i poz.8 </w:t>
            </w:r>
          </w:p>
          <w:p w:rsidR="009B13AC" w:rsidRPr="00C324E5" w:rsidRDefault="00236326" w:rsidP="001B4D6F">
            <w:pPr>
              <w:ind w:left="318" w:right="-7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r w:rsidR="009B13AC" w:rsidRPr="00C324E5">
              <w:rPr>
                <w:sz w:val="24"/>
                <w:szCs w:val="24"/>
              </w:rPr>
              <w:t xml:space="preserve">Zwracamy się z prośbą do Zamawiającego o dopuszczenie strzykawki 50/60 skalowanej co </w:t>
            </w:r>
            <w:r w:rsidR="001B4D6F">
              <w:rPr>
                <w:sz w:val="24"/>
                <w:szCs w:val="24"/>
              </w:rPr>
              <w:t xml:space="preserve"> </w:t>
            </w:r>
            <w:r w:rsidR="009B13AC" w:rsidRPr="00C324E5">
              <w:rPr>
                <w:sz w:val="24"/>
                <w:szCs w:val="24"/>
              </w:rPr>
              <w:t>1</w:t>
            </w:r>
            <w:r w:rsidR="007B22B4">
              <w:rPr>
                <w:sz w:val="24"/>
                <w:szCs w:val="24"/>
              </w:rPr>
              <w:t xml:space="preserve"> </w:t>
            </w:r>
            <w:r w:rsidR="009B13AC" w:rsidRPr="00C324E5">
              <w:rPr>
                <w:sz w:val="24"/>
                <w:szCs w:val="24"/>
              </w:rPr>
              <w:t>ml na całej długości skali do 60ml, z pojedynczą skalą pomiarową?</w:t>
            </w:r>
          </w:p>
          <w:p w:rsidR="00236326" w:rsidRPr="00C324E5" w:rsidRDefault="00236326" w:rsidP="001B4D6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7B22B4" w:rsidRPr="00A27D2E" w:rsidRDefault="001B4D6F" w:rsidP="007B22B4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A27D2E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nie dopuszcza w Pakiecie nr 25 poz. </w:t>
            </w:r>
            <w:r w:rsidR="007B22B4">
              <w:rPr>
                <w:sz w:val="24"/>
                <w:szCs w:val="24"/>
              </w:rPr>
              <w:t xml:space="preserve">7 i poz. 8 </w:t>
            </w:r>
            <w:r w:rsidRPr="00C324E5">
              <w:rPr>
                <w:sz w:val="24"/>
                <w:szCs w:val="24"/>
              </w:rPr>
              <w:t>strzykaw</w:t>
            </w:r>
            <w:r>
              <w:rPr>
                <w:sz w:val="24"/>
                <w:szCs w:val="24"/>
              </w:rPr>
              <w:t>e</w:t>
            </w:r>
            <w:r w:rsidRPr="00C324E5">
              <w:rPr>
                <w:sz w:val="24"/>
                <w:szCs w:val="24"/>
              </w:rPr>
              <w:t>k</w:t>
            </w:r>
            <w:r w:rsidR="007B22B4" w:rsidRPr="00C324E5">
              <w:rPr>
                <w:sz w:val="24"/>
                <w:szCs w:val="24"/>
              </w:rPr>
              <w:t xml:space="preserve"> o </w:t>
            </w:r>
            <w:r w:rsidR="007B22B4">
              <w:rPr>
                <w:sz w:val="24"/>
                <w:szCs w:val="24"/>
              </w:rPr>
              <w:t>zaoferowany</w:t>
            </w:r>
            <w:r w:rsidR="007B22B4" w:rsidRPr="00C324E5">
              <w:rPr>
                <w:sz w:val="24"/>
                <w:szCs w:val="24"/>
              </w:rPr>
              <w:t>ch parametrach</w:t>
            </w:r>
            <w:r w:rsidR="007B22B4">
              <w:rPr>
                <w:sz w:val="24"/>
                <w:szCs w:val="24"/>
              </w:rPr>
              <w:t>.</w:t>
            </w:r>
          </w:p>
          <w:p w:rsidR="001B4D6F" w:rsidRDefault="001B4D6F" w:rsidP="007B22B4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9B13AC" w:rsidRPr="00236326" w:rsidRDefault="00236326" w:rsidP="003C5D0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36326">
              <w:rPr>
                <w:sz w:val="24"/>
                <w:szCs w:val="24"/>
                <w:u w:val="single"/>
              </w:rPr>
              <w:t>P</w:t>
            </w:r>
            <w:r w:rsidR="009B13AC" w:rsidRPr="00236326">
              <w:rPr>
                <w:sz w:val="24"/>
                <w:szCs w:val="24"/>
                <w:u w:val="single"/>
              </w:rPr>
              <w:t xml:space="preserve">akiet 26 poz.1 </w:t>
            </w:r>
          </w:p>
          <w:p w:rsidR="009B13AC" w:rsidRPr="00C324E5" w:rsidRDefault="00236326" w:rsidP="007B22B4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</w:t>
            </w:r>
            <w:r w:rsidR="009B13AC" w:rsidRPr="00C324E5">
              <w:rPr>
                <w:sz w:val="24"/>
                <w:szCs w:val="24"/>
              </w:rPr>
              <w:t xml:space="preserve">Zwracamy się z prośbą do Zamawiającego o odstąpienie od pierwotnych wymogów </w:t>
            </w:r>
            <w:r>
              <w:rPr>
                <w:sz w:val="24"/>
                <w:szCs w:val="24"/>
              </w:rPr>
              <w:t xml:space="preserve">                        </w:t>
            </w:r>
            <w:r w:rsidR="009B13AC" w:rsidRPr="00C324E5">
              <w:rPr>
                <w:sz w:val="24"/>
                <w:szCs w:val="24"/>
              </w:rPr>
              <w:t>i dopuszcz</w:t>
            </w:r>
            <w:r>
              <w:rPr>
                <w:sz w:val="24"/>
                <w:szCs w:val="24"/>
              </w:rPr>
              <w:t>e</w:t>
            </w:r>
            <w:r w:rsidR="009B13AC" w:rsidRPr="00C324E5">
              <w:rPr>
                <w:sz w:val="24"/>
                <w:szCs w:val="24"/>
              </w:rPr>
              <w:t>nie poniższych parametrów:</w:t>
            </w:r>
          </w:p>
          <w:p w:rsidR="009B13AC" w:rsidRPr="00C324E5" w:rsidRDefault="007B22B4" w:rsidP="007B22B4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9B13AC" w:rsidRPr="00C324E5">
              <w:rPr>
                <w:sz w:val="24"/>
                <w:szCs w:val="24"/>
              </w:rPr>
              <w:t xml:space="preserve">Aparat do infuzji grawitacyjnej, podstawowy; zestaw do infuzji grawitacyjnej - komora kroplowa PCV bez DEHP, 20 kropli/ min z filtrem 15 µm, przezroczysta, odpowietrznik komory kroplowej; </w:t>
            </w:r>
            <w:proofErr w:type="spellStart"/>
            <w:r w:rsidR="009B13AC" w:rsidRPr="00C324E5">
              <w:rPr>
                <w:sz w:val="24"/>
                <w:szCs w:val="24"/>
              </w:rPr>
              <w:t>Spike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ABS, </w:t>
            </w:r>
            <w:proofErr w:type="spellStart"/>
            <w:r w:rsidR="009B13AC" w:rsidRPr="00C324E5">
              <w:rPr>
                <w:sz w:val="24"/>
                <w:szCs w:val="24"/>
              </w:rPr>
              <w:t>igla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</w:t>
            </w:r>
            <w:proofErr w:type="spellStart"/>
            <w:r w:rsidR="009B13AC" w:rsidRPr="00C324E5">
              <w:rPr>
                <w:sz w:val="24"/>
                <w:szCs w:val="24"/>
              </w:rPr>
              <w:t>czterokanalowa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/ stożek; kompatybilny z lipidami; zacisk rolkowy z miejscem do przypięcia drenu i zabezpieczenie kolca po użyciu (podwieszenie), PCV bez zawartości DEHP, lateksu, </w:t>
            </w:r>
            <w:proofErr w:type="spellStart"/>
            <w:r w:rsidR="009B13AC" w:rsidRPr="00C324E5">
              <w:rPr>
                <w:sz w:val="24"/>
                <w:szCs w:val="24"/>
              </w:rPr>
              <w:t>bisphenol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A długość drenu 150cm, mleczny/ zmatowiony; objętość wypełnienia drenu 11 ml, średnica wewnętrzna drenu 3 mm, sterylny - EO. Złącze </w:t>
            </w:r>
            <w:proofErr w:type="spellStart"/>
            <w:r w:rsidR="009B13AC" w:rsidRPr="00C324E5">
              <w:rPr>
                <w:sz w:val="24"/>
                <w:szCs w:val="24"/>
              </w:rPr>
              <w:t>luer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lock stałe; komora kroplowa o długości 57mm; na opakowaniu jednostkowym oznaczenie o braku </w:t>
            </w:r>
            <w:proofErr w:type="spellStart"/>
            <w:r w:rsidR="009B13AC" w:rsidRPr="00C324E5">
              <w:rPr>
                <w:sz w:val="24"/>
                <w:szCs w:val="24"/>
              </w:rPr>
              <w:t>latexu</w:t>
            </w:r>
            <w:proofErr w:type="spellEnd"/>
            <w:r w:rsidR="009B13AC" w:rsidRPr="00C324E5">
              <w:rPr>
                <w:sz w:val="24"/>
                <w:szCs w:val="24"/>
              </w:rPr>
              <w:t xml:space="preserve"> i DEHP, oznakowanie kolorystyczne inne, niż dla aparatów do krwi; data ważności – 4 lata od daty </w:t>
            </w:r>
            <w:proofErr w:type="spellStart"/>
            <w:r w:rsidR="009B13AC" w:rsidRPr="00C324E5">
              <w:rPr>
                <w:sz w:val="24"/>
                <w:szCs w:val="24"/>
              </w:rPr>
              <w:t>prod</w:t>
            </w:r>
            <w:proofErr w:type="spellEnd"/>
            <w:r w:rsidR="009B13AC" w:rsidRPr="00C324E5">
              <w:rPr>
                <w:sz w:val="24"/>
                <w:szCs w:val="24"/>
              </w:rPr>
              <w:t>. Opakowanie 250 szt.</w:t>
            </w:r>
          </w:p>
          <w:p w:rsidR="00236326" w:rsidRPr="00C324E5" w:rsidRDefault="00236326" w:rsidP="007B22B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BF312E" w:rsidRPr="00A27D2E" w:rsidRDefault="00BF312E" w:rsidP="00BF312E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A27D2E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>dopuszcza w Pakiecie nr 26 poz. 1 asortyment</w:t>
            </w:r>
            <w:r w:rsidRPr="00C324E5">
              <w:rPr>
                <w:sz w:val="24"/>
                <w:szCs w:val="24"/>
              </w:rPr>
              <w:t xml:space="preserve"> o </w:t>
            </w:r>
            <w:r>
              <w:rPr>
                <w:sz w:val="24"/>
                <w:szCs w:val="24"/>
              </w:rPr>
              <w:t>zaoferowany</w:t>
            </w:r>
            <w:r w:rsidRPr="00C324E5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9B13AC" w:rsidRDefault="009B13AC" w:rsidP="003C5D0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B22B4" w:rsidRDefault="007B22B4" w:rsidP="003C5D0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B22B4" w:rsidRPr="00C324E5" w:rsidRDefault="007B22B4" w:rsidP="003C5D0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B13AC" w:rsidRPr="00236326" w:rsidRDefault="00236326" w:rsidP="003C5D0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36326">
              <w:rPr>
                <w:sz w:val="24"/>
                <w:szCs w:val="24"/>
                <w:u w:val="single"/>
              </w:rPr>
              <w:t>Pa</w:t>
            </w:r>
            <w:r w:rsidR="009B13AC" w:rsidRPr="00236326">
              <w:rPr>
                <w:sz w:val="24"/>
                <w:szCs w:val="24"/>
                <w:u w:val="single"/>
              </w:rPr>
              <w:t xml:space="preserve">kiet 26 Poz.2 </w:t>
            </w:r>
          </w:p>
          <w:p w:rsidR="009B13AC" w:rsidRPr="00C324E5" w:rsidRDefault="00BF312E" w:rsidP="00BF312E">
            <w:pPr>
              <w:spacing w:after="120"/>
              <w:ind w:left="460" w:right="-72" w:hanging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</w:t>
            </w:r>
            <w:r w:rsidR="009B13AC" w:rsidRPr="00C324E5">
              <w:rPr>
                <w:sz w:val="24"/>
                <w:szCs w:val="24"/>
              </w:rPr>
              <w:t xml:space="preserve">Zwracamy się z prośbą do Zamawiającego o odstąpienie od pierwotnych wymogów </w:t>
            </w:r>
            <w:r w:rsidR="00B62CB3">
              <w:rPr>
                <w:sz w:val="24"/>
                <w:szCs w:val="24"/>
              </w:rPr>
              <w:t xml:space="preserve">                       </w:t>
            </w:r>
            <w:r w:rsidR="009B13AC" w:rsidRPr="00C324E5">
              <w:rPr>
                <w:sz w:val="24"/>
                <w:szCs w:val="24"/>
              </w:rPr>
              <w:t>i dopuszcz</w:t>
            </w:r>
            <w:r w:rsidR="00B62CB3">
              <w:rPr>
                <w:sz w:val="24"/>
                <w:szCs w:val="24"/>
              </w:rPr>
              <w:t>e</w:t>
            </w:r>
            <w:r w:rsidR="009B13AC" w:rsidRPr="00C324E5">
              <w:rPr>
                <w:sz w:val="24"/>
                <w:szCs w:val="24"/>
              </w:rPr>
              <w:t>nie poniższych parametrów:</w:t>
            </w:r>
          </w:p>
          <w:p w:rsidR="009B13AC" w:rsidRPr="00C324E5" w:rsidRDefault="009B13AC" w:rsidP="00BF312E">
            <w:pPr>
              <w:ind w:left="460" w:right="-72"/>
              <w:jc w:val="both"/>
              <w:rPr>
                <w:sz w:val="24"/>
                <w:szCs w:val="24"/>
              </w:rPr>
            </w:pPr>
            <w:r w:rsidRPr="00C324E5">
              <w:rPr>
                <w:sz w:val="24"/>
                <w:szCs w:val="24"/>
              </w:rPr>
              <w:t xml:space="preserve">zestaw infuzyjny grawitacyjny bursztynowy, precyzyjny zacisk rolkowy z zaczepem do przypięcia drenu oraz miejscem na zabezpieczenie igły po użyciu (podwieszenie kolca), wentylowana /odpowietrznik komory kroplowej ręczny; </w:t>
            </w:r>
            <w:proofErr w:type="spellStart"/>
            <w:r w:rsidRPr="00C324E5">
              <w:rPr>
                <w:sz w:val="24"/>
                <w:szCs w:val="24"/>
              </w:rPr>
              <w:t>spike</w:t>
            </w:r>
            <w:proofErr w:type="spellEnd"/>
            <w:r w:rsidRPr="00C324E5">
              <w:rPr>
                <w:sz w:val="24"/>
                <w:szCs w:val="24"/>
              </w:rPr>
              <w:t xml:space="preserve"> ABS, igła ścięta jednostronnie/lancet. Komora kroplowa elastyczna dla łatwego wypełnienia, d</w:t>
            </w:r>
            <w:r w:rsidR="00B62CB3">
              <w:rPr>
                <w:sz w:val="24"/>
                <w:szCs w:val="24"/>
              </w:rPr>
              <w:t>ł</w:t>
            </w:r>
            <w:r w:rsidRPr="00C324E5">
              <w:rPr>
                <w:sz w:val="24"/>
                <w:szCs w:val="24"/>
              </w:rPr>
              <w:t xml:space="preserve">ugość min. 60mm ; bez zawartości DEHP, lateksu, </w:t>
            </w:r>
            <w:proofErr w:type="spellStart"/>
            <w:r w:rsidRPr="00C324E5">
              <w:rPr>
                <w:sz w:val="24"/>
                <w:szCs w:val="24"/>
              </w:rPr>
              <w:t>bisphenol</w:t>
            </w:r>
            <w:proofErr w:type="spellEnd"/>
            <w:r w:rsidRPr="00C324E5">
              <w:rPr>
                <w:sz w:val="24"/>
                <w:szCs w:val="24"/>
              </w:rPr>
              <w:t xml:space="preserve"> A, łącznik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 lock rotacyjny (obrotowy) na końcu drenu do łatwego wpięcia do wkłucia, długość drenu 150 cm, </w:t>
            </w:r>
            <w:proofErr w:type="spellStart"/>
            <w:r w:rsidRPr="00C324E5">
              <w:rPr>
                <w:sz w:val="24"/>
                <w:szCs w:val="24"/>
              </w:rPr>
              <w:t>objętośc</w:t>
            </w:r>
            <w:proofErr w:type="spellEnd"/>
            <w:r w:rsidRPr="00C324E5">
              <w:rPr>
                <w:sz w:val="24"/>
                <w:szCs w:val="24"/>
              </w:rPr>
              <w:t xml:space="preserve"> </w:t>
            </w:r>
            <w:proofErr w:type="spellStart"/>
            <w:r w:rsidRPr="00C324E5">
              <w:rPr>
                <w:sz w:val="24"/>
                <w:szCs w:val="24"/>
              </w:rPr>
              <w:t>wypelnienia</w:t>
            </w:r>
            <w:proofErr w:type="spellEnd"/>
            <w:r w:rsidRPr="00C324E5">
              <w:rPr>
                <w:sz w:val="24"/>
                <w:szCs w:val="24"/>
              </w:rPr>
              <w:t xml:space="preserve"> drenu 12 ml; złącze </w:t>
            </w:r>
            <w:proofErr w:type="spellStart"/>
            <w:r w:rsidRPr="00C324E5">
              <w:rPr>
                <w:sz w:val="24"/>
                <w:szCs w:val="24"/>
              </w:rPr>
              <w:t>luer</w:t>
            </w:r>
            <w:proofErr w:type="spellEnd"/>
            <w:r w:rsidRPr="00C324E5">
              <w:rPr>
                <w:sz w:val="24"/>
                <w:szCs w:val="24"/>
              </w:rPr>
              <w:t xml:space="preserve"> lock obrotowe, dren z zatyczką z filtrem hydrofobowym </w:t>
            </w:r>
            <w:proofErr w:type="spellStart"/>
            <w:r w:rsidRPr="00C324E5">
              <w:rPr>
                <w:sz w:val="24"/>
                <w:szCs w:val="24"/>
              </w:rPr>
              <w:t>priming</w:t>
            </w:r>
            <w:proofErr w:type="spellEnd"/>
            <w:r w:rsidRPr="00C324E5">
              <w:rPr>
                <w:sz w:val="24"/>
                <w:szCs w:val="24"/>
              </w:rPr>
              <w:t xml:space="preserve"> cap</w:t>
            </w:r>
            <w:r w:rsidR="00B62CB3">
              <w:rPr>
                <w:sz w:val="24"/>
                <w:szCs w:val="24"/>
              </w:rPr>
              <w:t xml:space="preserve"> </w:t>
            </w:r>
            <w:r w:rsidRPr="00C324E5">
              <w:rPr>
                <w:sz w:val="24"/>
                <w:szCs w:val="24"/>
              </w:rPr>
              <w:t xml:space="preserve">sterylny - EO, na opakowaniu jednostkowym oznaczenie </w:t>
            </w:r>
            <w:r w:rsidR="00BF312E">
              <w:rPr>
                <w:sz w:val="24"/>
                <w:szCs w:val="24"/>
              </w:rPr>
              <w:t xml:space="preserve">                  </w:t>
            </w:r>
            <w:r w:rsidRPr="00C324E5">
              <w:rPr>
                <w:sz w:val="24"/>
                <w:szCs w:val="24"/>
              </w:rPr>
              <w:t xml:space="preserve">o braku </w:t>
            </w:r>
            <w:proofErr w:type="spellStart"/>
            <w:r w:rsidRPr="00C324E5">
              <w:rPr>
                <w:sz w:val="24"/>
                <w:szCs w:val="24"/>
              </w:rPr>
              <w:t>latexu</w:t>
            </w:r>
            <w:proofErr w:type="spellEnd"/>
            <w:r w:rsidRPr="00C324E5">
              <w:rPr>
                <w:sz w:val="24"/>
                <w:szCs w:val="24"/>
              </w:rPr>
              <w:t xml:space="preserve"> i DEHP, data ważności – 4 lata od daty produkcji.</w:t>
            </w:r>
          </w:p>
          <w:p w:rsidR="00B62CB3" w:rsidRPr="00C324E5" w:rsidRDefault="00B62CB3" w:rsidP="00BF312E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BF312E" w:rsidRPr="00A27D2E" w:rsidRDefault="00BF312E" w:rsidP="00BF312E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A27D2E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dopuszcza w Pakiecie nr 26 poz. </w:t>
            </w:r>
            <w:r w:rsidR="00F5699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asortyment</w:t>
            </w:r>
            <w:r w:rsidRPr="00C324E5">
              <w:rPr>
                <w:sz w:val="24"/>
                <w:szCs w:val="24"/>
              </w:rPr>
              <w:t xml:space="preserve"> o </w:t>
            </w:r>
            <w:r>
              <w:rPr>
                <w:sz w:val="24"/>
                <w:szCs w:val="24"/>
              </w:rPr>
              <w:t>zaoferowany</w:t>
            </w:r>
            <w:r w:rsidRPr="00C324E5">
              <w:rPr>
                <w:sz w:val="24"/>
                <w:szCs w:val="24"/>
              </w:rPr>
              <w:t>ch parametrach</w:t>
            </w:r>
            <w:r>
              <w:rPr>
                <w:sz w:val="24"/>
                <w:szCs w:val="24"/>
              </w:rPr>
              <w:t>.</w:t>
            </w:r>
          </w:p>
          <w:p w:rsidR="009B13AC" w:rsidRPr="00C324E5" w:rsidRDefault="009B13AC" w:rsidP="003C5D0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B13AC" w:rsidRPr="00C324E5" w:rsidRDefault="009B13AC" w:rsidP="00E13356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 w:rsidRPr="00C324E5">
              <w:rPr>
                <w:sz w:val="24"/>
                <w:szCs w:val="24"/>
              </w:rPr>
              <w:t xml:space="preserve">11. Prosimy o wprowadzenie poniższego zapisu waloryzacyjnego (tj. postanowień dotyczących zasad zmian wysokości wynagrodzenia, zgodnie z treścią art. 440 ustawy Prawo zamówień publicznych,) do wzoru umowy: </w:t>
            </w:r>
          </w:p>
          <w:p w:rsidR="009B13AC" w:rsidRPr="00C324E5" w:rsidRDefault="009B13AC" w:rsidP="00F5699A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 w:rsidRPr="00C324E5">
              <w:rPr>
                <w:sz w:val="24"/>
                <w:szCs w:val="24"/>
              </w:rPr>
              <w:t xml:space="preserve">„1. W przypadku zmiany (zwiększenia lub zmniejszenia) kosztów związanych z realizacją umowy, spowodowanej czynnikami obiektywnymi o charakterze rynkowym, w przypadku, gdy średnioroczny wskaźnik cen towarów i usług konsumpcyjnych ogółem przekroczy 15%, każda ze Stron może żądać zmiany wysokości Wynagrodzenia </w:t>
            </w:r>
            <w:proofErr w:type="spellStart"/>
            <w:r w:rsidRPr="00C324E5">
              <w:rPr>
                <w:sz w:val="24"/>
                <w:szCs w:val="24"/>
              </w:rPr>
              <w:t>udokumentowując</w:t>
            </w:r>
            <w:proofErr w:type="spellEnd"/>
            <w:r w:rsidRPr="00C324E5">
              <w:rPr>
                <w:sz w:val="24"/>
                <w:szCs w:val="24"/>
              </w:rPr>
              <w:t xml:space="preserve"> wysokość i wpływ zmian na wykonanie przedmiotu umowy. Zmiana wysokości Wynagrodzenia następować będzie nie częściej niż raz na 6 miesięcy, po raz pierwszy nie wcześniej niż po upływie 6 miesięcy od dnia zawarcia umowy, o wskaźnik zmiany cen towarów i usług konsumpcyjnych ogłaszany w komunikacie Prezesa Głównego Urzędu Statystycznego, przy czym wartość zmiany wynagrodzenia nie przekroczy wartości zmiany udokumentowanych kosztów związanych z realizacją umowy, wykazanej przez Wykonawcę oraz dotyczyć będzie tylko wynagrodzenia dotychczas niewypłaconego Wykonawcy. O </w:t>
            </w:r>
            <w:r w:rsidR="00F5699A">
              <w:rPr>
                <w:sz w:val="24"/>
                <w:szCs w:val="24"/>
              </w:rPr>
              <w:t xml:space="preserve">każdej planowanej zmianie ceny, </w:t>
            </w:r>
            <w:r w:rsidRPr="00C324E5">
              <w:rPr>
                <w:sz w:val="24"/>
                <w:szCs w:val="24"/>
              </w:rPr>
              <w:t xml:space="preserve">Wykonawca obowiązany jest zawiadomić Zamawiającego na piśmie wraz z dokumentowaniem wpływu zmian kosztów na zmianę kosztów wykonania zamówienia przez Wykonawcę oraz na cenę w zawartej umowie </w:t>
            </w:r>
            <w:r w:rsidR="009A1B65">
              <w:rPr>
                <w:sz w:val="24"/>
                <w:szCs w:val="24"/>
              </w:rPr>
              <w:t xml:space="preserve">                      </w:t>
            </w:r>
            <w:r w:rsidRPr="00C324E5">
              <w:rPr>
                <w:sz w:val="24"/>
                <w:szCs w:val="24"/>
              </w:rPr>
              <w:t>o dostawy, zaś zmiana cen odbywa się na podstawie Aneksu do umowy.</w:t>
            </w:r>
          </w:p>
          <w:p w:rsidR="009B13AC" w:rsidRPr="00C324E5" w:rsidRDefault="009B13AC" w:rsidP="009A1B65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 w:rsidRPr="00C324E5">
              <w:rPr>
                <w:sz w:val="24"/>
                <w:szCs w:val="24"/>
              </w:rPr>
              <w:t>2. Waloryzacja wynagrodzenia o której mowa nie może służyć do poprawiania błędów Wykonawcy dokonanych w trakcie kalkulacji ceny oferty. Nie mogą one prowadzić, do zmniejszenia ryzyka związanego z niedoszacowaniem oferty przez Wykonawcę, ani do wzbogacenia się Wykonawcy, czyli wzrostu jego wynagrodzenia.”</w:t>
            </w:r>
          </w:p>
          <w:p w:rsidR="009B13AC" w:rsidRPr="00C324E5" w:rsidRDefault="009B13AC" w:rsidP="009A1B65">
            <w:pPr>
              <w:ind w:left="318" w:right="-74" w:hanging="284"/>
              <w:jc w:val="both"/>
              <w:rPr>
                <w:sz w:val="24"/>
                <w:szCs w:val="24"/>
              </w:rPr>
            </w:pPr>
            <w:r w:rsidRPr="00C324E5">
              <w:rPr>
                <w:sz w:val="24"/>
                <w:szCs w:val="24"/>
              </w:rPr>
              <w:t xml:space="preserve">3. W okresie obowiązywania umowy, zmiana (zwiększenie lub zmniejszenie) wysokości wynagrodzenia, określone w …………….., nie może łącznie przekroczyć dwadzieścia pięć </w:t>
            </w:r>
            <w:r w:rsidR="00F40F59">
              <w:rPr>
                <w:sz w:val="24"/>
                <w:szCs w:val="24"/>
              </w:rPr>
              <w:t>[</w:t>
            </w:r>
            <w:r w:rsidRPr="00C324E5">
              <w:rPr>
                <w:sz w:val="24"/>
                <w:szCs w:val="24"/>
              </w:rPr>
              <w:t>25] % wysokości wynagrodzenia Wykonawcy liczonego wg stanu na dzień zawarcia umowy.”</w:t>
            </w:r>
          </w:p>
          <w:p w:rsidR="00F40F59" w:rsidRDefault="00F40F59" w:rsidP="009A1B6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4E5">
              <w:rPr>
                <w:b/>
                <w:sz w:val="24"/>
                <w:szCs w:val="24"/>
              </w:rPr>
              <w:t>Odp.:</w:t>
            </w:r>
          </w:p>
          <w:p w:rsidR="00131A57" w:rsidRPr="00131A57" w:rsidRDefault="00131A57" w:rsidP="009A1B65">
            <w:pPr>
              <w:ind w:left="30" w:right="-74"/>
              <w:jc w:val="both"/>
              <w:rPr>
                <w:sz w:val="24"/>
                <w:szCs w:val="24"/>
              </w:rPr>
            </w:pPr>
            <w:r w:rsidRPr="00131A57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nie wyraża zgody na wprowadzenie powyższego zapisu waloryzacyjnego do Projektu umowy.  </w:t>
            </w:r>
          </w:p>
          <w:p w:rsidR="009B13AC" w:rsidRPr="00C324E5" w:rsidRDefault="009B13AC" w:rsidP="00131A57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Default="00F5699A" w:rsidP="00F5699A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lastRenderedPageBreak/>
        <w:t xml:space="preserve">Zamawiający </w:t>
      </w:r>
    </w:p>
    <w:p w:rsidR="00F5699A" w:rsidRDefault="00F5699A" w:rsidP="00F5699A">
      <w:pPr>
        <w:jc w:val="right"/>
        <w:rPr>
          <w:i/>
          <w:sz w:val="24"/>
          <w:szCs w:val="24"/>
        </w:rPr>
      </w:pPr>
    </w:p>
    <w:p w:rsidR="00F5699A" w:rsidRDefault="00F5699A" w:rsidP="00F5699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F5699A" w:rsidRPr="00F5699A" w:rsidRDefault="00F5699A" w:rsidP="00F5699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</w:t>
      </w:r>
      <w:r w:rsidR="00131A57">
        <w:rPr>
          <w:i/>
          <w:sz w:val="24"/>
          <w:szCs w:val="24"/>
        </w:rPr>
        <w:t>n</w:t>
      </w:r>
      <w:r>
        <w:rPr>
          <w:i/>
          <w:sz w:val="24"/>
          <w:szCs w:val="24"/>
        </w:rPr>
        <w:t>czyk</w:t>
      </w:r>
      <w:proofErr w:type="spellEnd"/>
      <w:r>
        <w:rPr>
          <w:i/>
          <w:sz w:val="24"/>
          <w:szCs w:val="24"/>
        </w:rPr>
        <w:t xml:space="preserve">  </w:t>
      </w:r>
    </w:p>
    <w:sectPr w:rsidR="00F5699A" w:rsidRPr="00F5699A" w:rsidSect="00C324E5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EA1" w:rsidRDefault="00C54EA1">
      <w:r>
        <w:separator/>
      </w:r>
    </w:p>
  </w:endnote>
  <w:endnote w:type="continuationSeparator" w:id="0">
    <w:p w:rsidR="00C54EA1" w:rsidRDefault="00C54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63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637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6637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73615" w:rsidRPr="00473615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EA1" w:rsidRDefault="00C54EA1">
      <w:r>
        <w:separator/>
      </w:r>
    </w:p>
  </w:footnote>
  <w:footnote w:type="continuationSeparator" w:id="0">
    <w:p w:rsidR="00C54EA1" w:rsidRDefault="00C54E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3AC"/>
    <w:rsid w:val="00031374"/>
    <w:rsid w:val="000961C0"/>
    <w:rsid w:val="000A1097"/>
    <w:rsid w:val="000E2A8F"/>
    <w:rsid w:val="000E398C"/>
    <w:rsid w:val="0012774F"/>
    <w:rsid w:val="00131A57"/>
    <w:rsid w:val="00144B7A"/>
    <w:rsid w:val="00180C6E"/>
    <w:rsid w:val="001B4D6F"/>
    <w:rsid w:val="00236326"/>
    <w:rsid w:val="0029606A"/>
    <w:rsid w:val="00397CE5"/>
    <w:rsid w:val="00401FAC"/>
    <w:rsid w:val="00473615"/>
    <w:rsid w:val="004848F3"/>
    <w:rsid w:val="004A75F2"/>
    <w:rsid w:val="005144A9"/>
    <w:rsid w:val="00520165"/>
    <w:rsid w:val="005B1B08"/>
    <w:rsid w:val="005F2859"/>
    <w:rsid w:val="00632C3C"/>
    <w:rsid w:val="00662BDB"/>
    <w:rsid w:val="006A5DF1"/>
    <w:rsid w:val="006B7198"/>
    <w:rsid w:val="006D4AB3"/>
    <w:rsid w:val="006F3B81"/>
    <w:rsid w:val="007B22B4"/>
    <w:rsid w:val="007D7198"/>
    <w:rsid w:val="00864A4B"/>
    <w:rsid w:val="00870F9F"/>
    <w:rsid w:val="008804B6"/>
    <w:rsid w:val="00897AB0"/>
    <w:rsid w:val="008A3553"/>
    <w:rsid w:val="0096637C"/>
    <w:rsid w:val="00970FC1"/>
    <w:rsid w:val="009A1B65"/>
    <w:rsid w:val="009B13AC"/>
    <w:rsid w:val="00A213F6"/>
    <w:rsid w:val="00A27D2E"/>
    <w:rsid w:val="00A905AC"/>
    <w:rsid w:val="00B62CB3"/>
    <w:rsid w:val="00BA6584"/>
    <w:rsid w:val="00BE7BFD"/>
    <w:rsid w:val="00BF312E"/>
    <w:rsid w:val="00C324E5"/>
    <w:rsid w:val="00C370F2"/>
    <w:rsid w:val="00C44EEC"/>
    <w:rsid w:val="00C54EA1"/>
    <w:rsid w:val="00C70847"/>
    <w:rsid w:val="00C958C6"/>
    <w:rsid w:val="00CE3A22"/>
    <w:rsid w:val="00D22FFA"/>
    <w:rsid w:val="00D8461B"/>
    <w:rsid w:val="00D87981"/>
    <w:rsid w:val="00D915F2"/>
    <w:rsid w:val="00DE37CE"/>
    <w:rsid w:val="00DF32E8"/>
    <w:rsid w:val="00DF53CA"/>
    <w:rsid w:val="00E13356"/>
    <w:rsid w:val="00E21B49"/>
    <w:rsid w:val="00E2789F"/>
    <w:rsid w:val="00E72428"/>
    <w:rsid w:val="00E74BC3"/>
    <w:rsid w:val="00E935D6"/>
    <w:rsid w:val="00EA14B3"/>
    <w:rsid w:val="00EA416E"/>
    <w:rsid w:val="00EB3FE8"/>
    <w:rsid w:val="00F40F59"/>
    <w:rsid w:val="00F5699A"/>
    <w:rsid w:val="00F8124F"/>
    <w:rsid w:val="00FB38E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37CE"/>
  </w:style>
  <w:style w:type="paragraph" w:styleId="Nagwek1">
    <w:name w:val="heading 1"/>
    <w:basedOn w:val="Normalny"/>
    <w:next w:val="Normalny"/>
    <w:link w:val="Nagwek1Znak"/>
    <w:qFormat/>
    <w:rsid w:val="00DE37C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E37C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E37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37C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37CE"/>
  </w:style>
  <w:style w:type="paragraph" w:styleId="Tekstpodstawowywcity">
    <w:name w:val="Body Text Indent"/>
    <w:basedOn w:val="Normalny"/>
    <w:rsid w:val="00DE37C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E37C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E37C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E37CE"/>
    <w:rPr>
      <w:sz w:val="28"/>
    </w:rPr>
  </w:style>
  <w:style w:type="paragraph" w:styleId="Tekstpodstawowywcity3">
    <w:name w:val="Body Text Indent 3"/>
    <w:basedOn w:val="Normalny"/>
    <w:rsid w:val="00DE37C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324E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324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1495</Words>
  <Characters>10245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2022-08-05T13:05:00Z</cp:lastPrinted>
  <dcterms:created xsi:type="dcterms:W3CDTF">2022-08-05T13:05:00Z</dcterms:created>
  <dcterms:modified xsi:type="dcterms:W3CDTF">2022-08-05T13:05:00Z</dcterms:modified>
</cp:coreProperties>
</file>