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473CE" w14:textId="33C6ECFB" w:rsidR="009B3EB7" w:rsidRPr="009B3EB7" w:rsidRDefault="009B3EB7" w:rsidP="009B3EB7">
      <w:pPr>
        <w:jc w:val="both"/>
        <w:rPr>
          <w:rFonts w:ascii="Times New Roman" w:hAnsi="Times New Roman" w:cs="Times New Roman"/>
          <w:sz w:val="24"/>
          <w:szCs w:val="24"/>
        </w:rPr>
      </w:pPr>
      <w:r w:rsidRPr="009B3EB7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1CFB5079" w14:textId="77777777" w:rsidR="009B3EB7" w:rsidRPr="009B3EB7" w:rsidRDefault="009B3EB7" w:rsidP="009B3EB7">
      <w:pPr>
        <w:jc w:val="both"/>
        <w:rPr>
          <w:rFonts w:ascii="Times New Roman" w:hAnsi="Times New Roman" w:cs="Times New Roman"/>
          <w:sz w:val="24"/>
          <w:szCs w:val="24"/>
        </w:rPr>
      </w:pPr>
      <w:r w:rsidRPr="009B3EB7">
        <w:rPr>
          <w:rFonts w:ascii="Times New Roman" w:hAnsi="Times New Roman" w:cs="Times New Roman"/>
          <w:sz w:val="24"/>
          <w:szCs w:val="24"/>
        </w:rPr>
        <w:t>Eap-2412/10/22/D</w:t>
      </w:r>
    </w:p>
    <w:p w14:paraId="704AF2FE" w14:textId="77777777" w:rsidR="009B3EB7" w:rsidRPr="009B3EB7" w:rsidRDefault="009B3EB7" w:rsidP="009B3EB7">
      <w:pPr>
        <w:jc w:val="both"/>
        <w:rPr>
          <w:rFonts w:ascii="Times New Roman" w:hAnsi="Times New Roman" w:cs="Times New Roman"/>
          <w:sz w:val="24"/>
          <w:szCs w:val="24"/>
        </w:rPr>
      </w:pPr>
      <w:r w:rsidRPr="009B3EB7">
        <w:rPr>
          <w:rFonts w:ascii="Times New Roman" w:hAnsi="Times New Roman" w:cs="Times New Roman"/>
          <w:sz w:val="24"/>
          <w:szCs w:val="24"/>
        </w:rPr>
        <w:t>Dotyczy postępowania znak jw. z dnia 15.07.2022r.</w:t>
      </w:r>
    </w:p>
    <w:p w14:paraId="0658F918" w14:textId="1BFA56F5" w:rsidR="009B3EB7" w:rsidRPr="009B3EB7" w:rsidRDefault="009B3EB7" w:rsidP="009B3EB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3EB7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9B3EB7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1E58BE80" w14:textId="77777777" w:rsidR="009B3EB7" w:rsidRPr="009B3EB7" w:rsidRDefault="009B3EB7" w:rsidP="009B3E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EB7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4D90F17E" w14:textId="77777777" w:rsidR="009B3EB7" w:rsidRPr="009B3EB7" w:rsidRDefault="009B3EB7" w:rsidP="009B3E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EB7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4C8D4311" w14:textId="77777777" w:rsidR="009B3EB7" w:rsidRPr="009B3EB7" w:rsidRDefault="009B3EB7" w:rsidP="009B3EB7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EB7">
        <w:rPr>
          <w:rFonts w:ascii="Times New Roman" w:hAnsi="Times New Roman" w:cs="Times New Roman"/>
          <w:sz w:val="24"/>
          <w:szCs w:val="24"/>
        </w:rPr>
        <w:t>SWZ w postępowaniu:</w:t>
      </w:r>
      <w:r w:rsidRPr="009B3E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67FFAB7" w14:textId="77777777" w:rsidR="00213865" w:rsidRDefault="009B3EB7" w:rsidP="009B3EB7">
      <w:pPr>
        <w:widowControl w:val="0"/>
        <w:spacing w:after="0" w:line="240" w:lineRule="exact"/>
        <w:jc w:val="center"/>
        <w:rPr>
          <w:rFonts w:ascii="Times New Roman" w:hAnsi="Times New Roman" w:cs="Times New Roman"/>
          <w:b/>
        </w:rPr>
      </w:pPr>
      <w:r w:rsidRPr="009B3EB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Dot. Postępowania w trybie podstawowym : </w:t>
      </w:r>
      <w:r w:rsidRPr="009B3E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 w:rsidRPr="009B3EB7">
        <w:rPr>
          <w:b/>
        </w:rPr>
        <w:t xml:space="preserve"> </w:t>
      </w:r>
      <w:r w:rsidRPr="009B3EB7">
        <w:rPr>
          <w:rFonts w:ascii="Times New Roman" w:hAnsi="Times New Roman" w:cs="Times New Roman"/>
          <w:b/>
        </w:rPr>
        <w:t xml:space="preserve">Dostawa produktów farmaceutycznych </w:t>
      </w:r>
    </w:p>
    <w:p w14:paraId="1D26DD3D" w14:textId="5814DF4A" w:rsidR="009B3EB7" w:rsidRPr="001064A8" w:rsidRDefault="009B3EB7" w:rsidP="001064A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B3EB7">
        <w:rPr>
          <w:rFonts w:ascii="Times New Roman" w:hAnsi="Times New Roman" w:cs="Times New Roman"/>
          <w:b/>
        </w:rPr>
        <w:t>w 44 pakietach</w:t>
      </w:r>
      <w:r w:rsidRPr="009B3E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”.</w:t>
      </w:r>
    </w:p>
    <w:p w14:paraId="77021FA9" w14:textId="77777777" w:rsidR="009B3EB7" w:rsidRPr="009B3EB7" w:rsidRDefault="009B3EB7" w:rsidP="009B3EB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B3EB7">
        <w:rPr>
          <w:rFonts w:ascii="Times New Roman" w:hAnsi="Times New Roman" w:cs="Times New Roman"/>
          <w:sz w:val="24"/>
          <w:szCs w:val="24"/>
        </w:rPr>
        <w:t xml:space="preserve">Zgodnie z art.284 ust.6 </w:t>
      </w:r>
      <w:r w:rsidRPr="009B3EB7">
        <w:rPr>
          <w:rFonts w:ascii="Times New Roman" w:hAnsi="Times New Roman" w:cs="Times New Roman"/>
        </w:rPr>
        <w:t xml:space="preserve">ustawy z dnia 11 września 2019 roku Prawo zamówień publicznych </w:t>
      </w:r>
    </w:p>
    <w:p w14:paraId="27858092" w14:textId="77777777" w:rsidR="009B3EB7" w:rsidRPr="009B3EB7" w:rsidRDefault="009B3EB7" w:rsidP="009B3EB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B3EB7">
        <w:rPr>
          <w:rFonts w:ascii="Times New Roman" w:hAnsi="Times New Roman" w:cs="Times New Roman"/>
        </w:rPr>
        <w:t>(Dz. U. z 2019 r. poz. 2019 ze zm.) Zamawiający przekazuje treść zapytań wraz z wyjaśnieniami:</w:t>
      </w:r>
    </w:p>
    <w:p w14:paraId="47A2235A" w14:textId="3927BFDD" w:rsidR="009B3EB7" w:rsidRDefault="009B3EB7" w:rsidP="009B3EB7">
      <w:pPr>
        <w:rPr>
          <w:rFonts w:ascii="Times New Roman" w:hAnsi="Times New Roman" w:cs="Times New Roman"/>
        </w:rPr>
      </w:pPr>
    </w:p>
    <w:p w14:paraId="05935A66" w14:textId="77777777" w:rsidR="009B3EB7" w:rsidRPr="008C42F7" w:rsidRDefault="009B3EB7" w:rsidP="009B3EB7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42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§2 ust. 7 oraz §5 ust. 4 wzoru umowy. </w:t>
      </w:r>
    </w:p>
    <w:p w14:paraId="00FFA2EC" w14:textId="71DBE9C1" w:rsidR="009B3EB7" w:rsidRDefault="009B3EB7" w:rsidP="009B3EB7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42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w związku niezbędnymi procedurami związanymi z realizacją przepisów ustawy Prawo farmaceutyczne Zamawiający wyrazi zgodę na określenie terminu na załatwienie reklamacji do 72 godzin od daty złożenia reklamacji? </w:t>
      </w:r>
      <w:r w:rsidRPr="009B3EB7">
        <w:rPr>
          <w:rFonts w:ascii="Times New Roman" w:hAnsi="Times New Roman" w:cs="Times New Roman"/>
          <w:b/>
          <w:bCs/>
        </w:rPr>
        <w:t xml:space="preserve">Odpowiedzi Zamawiającego: </w:t>
      </w:r>
      <w:r>
        <w:rPr>
          <w:rFonts w:ascii="Times New Roman" w:hAnsi="Times New Roman" w:cs="Times New Roman"/>
          <w:b/>
          <w:bCs/>
        </w:rPr>
        <w:t>Nie. Zamawiający podtrzymuje zapisy SWZ.</w:t>
      </w:r>
    </w:p>
    <w:p w14:paraId="7F1DE094" w14:textId="77777777" w:rsidR="009B3EB7" w:rsidRDefault="009B3EB7" w:rsidP="009B3EB7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19DD1F" w14:textId="1D05B5D8" w:rsidR="009B3EB7" w:rsidRDefault="009B3EB7" w:rsidP="009B3EB7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42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§3 ust. 2 wzoru umowy: </w:t>
      </w:r>
    </w:p>
    <w:p w14:paraId="7D44E09A" w14:textId="7190929B" w:rsidR="009B3EB7" w:rsidRPr="00BE27B6" w:rsidRDefault="009B3EB7" w:rsidP="009B3EB7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27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Wnosimy o wydłużenie terminu na dostarczenie dokumentacji dostarczanych leków (m.in. charakterystyk produktów leczniczych) do 5 dni roboczych. Obecny termin jest zbyt krótki a w połączeniu z zagrożeniem wysoką karą stanowi zagrożenie dla ekonomicznego sensu realizacji umowy. </w:t>
      </w:r>
      <w:r w:rsidRPr="009B3EB7">
        <w:rPr>
          <w:rFonts w:ascii="Times New Roman" w:hAnsi="Times New Roman" w:cs="Times New Roman"/>
          <w:b/>
          <w:bCs/>
        </w:rPr>
        <w:t>Odpowiedzi Zamawiającego</w:t>
      </w:r>
      <w:r w:rsidR="00BE27B6" w:rsidRPr="00BE27B6">
        <w:rPr>
          <w:rFonts w:ascii="Times New Roman" w:hAnsi="Times New Roman" w:cs="Times New Roman"/>
          <w:b/>
          <w:bCs/>
        </w:rPr>
        <w:t>: Tak. Zamawiający modyfikuje w tym zakresie wzór umowy.</w:t>
      </w:r>
    </w:p>
    <w:p w14:paraId="2B991EFC" w14:textId="77777777" w:rsidR="009B3EB7" w:rsidRPr="00BE27B6" w:rsidRDefault="009B3EB7" w:rsidP="009B3EB7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669604A" w14:textId="383D880D" w:rsidR="009B3EB7" w:rsidRDefault="009B3EB7" w:rsidP="009B3EB7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42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§5 ust. 6 oraz §7 ust. 1 lit. c) wzoru umowy: </w:t>
      </w:r>
    </w:p>
    <w:p w14:paraId="239FE9E6" w14:textId="47D73B85" w:rsidR="009B3EB7" w:rsidRDefault="009B3EB7" w:rsidP="009B3EB7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42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Prosimy o dodanie słów "... z wyłączeniem powołania się przez Wykonawcę na okoliczności, które zgodnie z przepisami prawa powszechnie obowiązującego uprawniają Sprzedającego do odmowy dostarczenia towaru Kupującemu.". </w:t>
      </w:r>
      <w:r w:rsidRPr="009B3EB7">
        <w:rPr>
          <w:rFonts w:ascii="Times New Roman" w:hAnsi="Times New Roman" w:cs="Times New Roman"/>
          <w:b/>
          <w:bCs/>
        </w:rPr>
        <w:t xml:space="preserve">Odpowiedzi Zamawiającego: </w:t>
      </w:r>
      <w:r>
        <w:rPr>
          <w:rFonts w:ascii="Times New Roman" w:hAnsi="Times New Roman" w:cs="Times New Roman"/>
          <w:b/>
          <w:bCs/>
        </w:rPr>
        <w:t>Nie. Zamawiający podtrzymuje zapisy SWZ.</w:t>
      </w:r>
    </w:p>
    <w:p w14:paraId="2526016D" w14:textId="77777777" w:rsidR="009B3EB7" w:rsidRDefault="009B3EB7" w:rsidP="009B3EB7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DCEF6D" w14:textId="2C466F3B" w:rsidR="009B3EB7" w:rsidRDefault="009B3EB7" w:rsidP="009B3EB7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42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§5 ust. 8 wzoru umowy: </w:t>
      </w:r>
    </w:p>
    <w:p w14:paraId="5ED9FE64" w14:textId="27133FC6" w:rsidR="009B3EB7" w:rsidRDefault="009B3EB7" w:rsidP="009B3EB7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42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Prosimy o wykreślenie zapisu w części dotyczącej naliczenia dodatkowej kary umownej przez Zamawiającego przy realizacji zamówienia zastępczego, gdyż zapis §5 ust. 7 zobowiązuje Wykonawcę do pokrycia różnicy w cenie pomiędzy ceną wynikającą z umowy, a ceną jaką zapłaci Zamawiający u innego wykonawcy oraz wszystkich dodatkowych kosztów związanych z wykonaniem zamówienia zastępczego. </w:t>
      </w:r>
      <w:r w:rsidRPr="009B3EB7">
        <w:rPr>
          <w:rFonts w:ascii="Times New Roman" w:hAnsi="Times New Roman" w:cs="Times New Roman"/>
          <w:b/>
          <w:bCs/>
        </w:rPr>
        <w:t xml:space="preserve">Odpowiedzi Zamawiającego: </w:t>
      </w:r>
      <w:r>
        <w:rPr>
          <w:rFonts w:ascii="Times New Roman" w:hAnsi="Times New Roman" w:cs="Times New Roman"/>
          <w:b/>
          <w:bCs/>
        </w:rPr>
        <w:t>Nie. Zamawiający podtrzymuje zapisy SWZ.</w:t>
      </w:r>
    </w:p>
    <w:p w14:paraId="419BDDFD" w14:textId="77777777" w:rsidR="009B3EB7" w:rsidRDefault="009B3EB7" w:rsidP="009B3EB7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011B57" w14:textId="3E118804" w:rsidR="009B3EB7" w:rsidRDefault="009B3EB7" w:rsidP="009B3EB7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42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§7 ust. 1 lit. d) wzoru umowy: </w:t>
      </w:r>
    </w:p>
    <w:p w14:paraId="3F0259A9" w14:textId="77777777" w:rsidR="003C3BCA" w:rsidRDefault="009B3EB7" w:rsidP="009B3EB7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C42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wyrazi zgodę na zmianę postanowień §7 ust. 1 lit. d) wzoru umowy w taki sposób, aby kary umowne zastrzeżone na wypadek opóźnienia w realizacji zamówienia i załatwienia reklamacji były wyłącznie proporcjonalne do wartości części zamówienia zrealizowanej z opóźnieniem - bez minimalnej, sztywnej kary, tj. 50,00 zł - i wynosiły 0,5% od wartości tej części, za każdy dzień opóźnienia? Wskazujemy przy tym, że wysokość ww. kara umownych możliwych do naliczenia przez Zamawiającego (zawsze minimum 50,00 zł) nie zostaje uzależniona ani od </w:t>
      </w:r>
      <w:r w:rsidRPr="008C42F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realnej wartości niezrealizowanej terminowo pozycji zamówienia, czy od poniesionej przez Zamawiającego szkody, ani też od żadnych innych obiektywnych czynników. W konsekwencji, taki sposób naliczania budzi zastrzeżenia Wykonawcy z uwagi na fakt, iż może być on dotknięty sankcją nieważności na podstawie art. 353¹ Kodeksu cywilnego - ze względu na sprzeczność z naturą stosunku zobowiązaniowego. Reasumując, ww. sankcje wynikające z proponowanej treści umowy nie spełniają zasadniczego celu, dla którego są wprowadzane i uwzględniają jedynie represyjną funkcję kary umownej. Mając na uwadze powyższe, Wykonawca wnosi o zmianę wspomnianych zapisów, aby były one zgodne z reżimem prawa cywilnego. </w:t>
      </w:r>
      <w:r w:rsidRPr="009B3EB7">
        <w:rPr>
          <w:rFonts w:ascii="Times New Roman" w:hAnsi="Times New Roman" w:cs="Times New Roman"/>
          <w:b/>
          <w:bCs/>
        </w:rPr>
        <w:t xml:space="preserve">Odpowiedzi Zamawiającego: </w:t>
      </w:r>
      <w:r>
        <w:rPr>
          <w:rFonts w:ascii="Times New Roman" w:hAnsi="Times New Roman" w:cs="Times New Roman"/>
          <w:b/>
          <w:bCs/>
        </w:rPr>
        <w:t>Nie. Zamawiający podtrzymuje zapisy SWZ.</w:t>
      </w:r>
      <w:r w:rsidR="00BE27B6">
        <w:rPr>
          <w:rFonts w:ascii="Times New Roman" w:hAnsi="Times New Roman" w:cs="Times New Roman"/>
          <w:b/>
          <w:bCs/>
        </w:rPr>
        <w:t xml:space="preserve"> Dodatkowo Zamawiający wykreśla ze wzoru umowy zwrot ,,opóźnienia”</w:t>
      </w:r>
      <w:r w:rsidR="003C3BCA">
        <w:rPr>
          <w:rFonts w:ascii="Times New Roman" w:hAnsi="Times New Roman" w:cs="Times New Roman"/>
          <w:b/>
          <w:bCs/>
        </w:rPr>
        <w:t xml:space="preserve"> </w:t>
      </w:r>
      <w:r w:rsidR="003C3BCA" w:rsidRPr="003C3BCA">
        <w:rPr>
          <w:rFonts w:ascii="Times New Roman" w:hAnsi="Times New Roman" w:cs="Times New Roman"/>
          <w:b/>
          <w:bCs/>
        </w:rPr>
        <w:t xml:space="preserve">w </w:t>
      </w:r>
      <w:r w:rsidR="003C3BCA" w:rsidRPr="003C3B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§5 ust. 6; §6 ust. 1; </w:t>
      </w:r>
    </w:p>
    <w:p w14:paraId="0182D0B8" w14:textId="4C8FAD90" w:rsidR="009B3EB7" w:rsidRPr="003C3BCA" w:rsidRDefault="003C3BCA" w:rsidP="003C3BCA">
      <w:pPr>
        <w:pStyle w:val="Akapitzlist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C3B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§7 ust. 1D</w:t>
      </w:r>
    </w:p>
    <w:p w14:paraId="7FF5FDD2" w14:textId="77777777" w:rsidR="009B3EB7" w:rsidRDefault="009B3EB7" w:rsidP="009B3EB7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28DDCEB" w14:textId="13A01944" w:rsidR="009B3EB7" w:rsidRDefault="009B3EB7" w:rsidP="009B3EB7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42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§7 ust. 3 wzoru umowy: </w:t>
      </w:r>
    </w:p>
    <w:p w14:paraId="6760CE14" w14:textId="2C1CF4B5" w:rsidR="009B3EB7" w:rsidRDefault="009B3EB7" w:rsidP="009B3EB7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42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Prosimy o zmianę zapisu poprzez nadanie mu brzmienia: „Za zwłokę w zapłacie faktur, Zamawiający zapłaci Wykonawcy odsetki ustawowe zgodnie z art. 4 pkt 3 lit. a) Ustawy o przeciwdziałaniu nadmiernym opóźnieniom w transakcjach handlowych.”. </w:t>
      </w:r>
      <w:r w:rsidRPr="009B3EB7">
        <w:rPr>
          <w:rFonts w:ascii="Times New Roman" w:hAnsi="Times New Roman" w:cs="Times New Roman"/>
          <w:b/>
          <w:bCs/>
        </w:rPr>
        <w:t xml:space="preserve">Odpowiedzi Zamawiającego: </w:t>
      </w:r>
      <w:r>
        <w:rPr>
          <w:rFonts w:ascii="Times New Roman" w:hAnsi="Times New Roman" w:cs="Times New Roman"/>
          <w:b/>
          <w:bCs/>
        </w:rPr>
        <w:t>Nie. Zamawiający podtrzymuje zapisy SWZ.</w:t>
      </w:r>
    </w:p>
    <w:p w14:paraId="6B4BCD36" w14:textId="77777777" w:rsidR="009B3EB7" w:rsidRDefault="009B3EB7" w:rsidP="009B3EB7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CECF24" w14:textId="1B17635E" w:rsidR="009B3EB7" w:rsidRDefault="009B3EB7" w:rsidP="009B3EB7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42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§9 ust. 5 oraz §9 ust. 7 lit. c) wzoru umowy: </w:t>
      </w:r>
    </w:p>
    <w:p w14:paraId="057A3559" w14:textId="0BF27854" w:rsidR="009B3EB7" w:rsidRPr="00DF49E2" w:rsidRDefault="009B3EB7" w:rsidP="009B3EB7">
      <w:pPr>
        <w:pStyle w:val="Akapitzlist"/>
        <w:numPr>
          <w:ilvl w:val="0"/>
          <w:numId w:val="4"/>
        </w:numPr>
        <w:rPr>
          <w:rFonts w:ascii="Times New Roman" w:hAnsi="Times New Roman" w:cs="Times New Roman"/>
        </w:rPr>
      </w:pPr>
      <w:r w:rsidRPr="009B3EB7">
        <w:rPr>
          <w:rFonts w:ascii="Times New Roman" w:eastAsia="Times New Roman" w:hAnsi="Times New Roman" w:cs="Times New Roman"/>
          <w:sz w:val="24"/>
          <w:szCs w:val="24"/>
          <w:lang w:eastAsia="pl-PL"/>
        </w:rPr>
        <w:t>Prosimy o informację, czy w przypadku wstrzymania produkcji lub wycofania z obrotu przedmiotu umowy oraz braku możliwości dostarczenia zamiennika produktu w cenie przetargowej (bo np. będzie to groziło rażącą stratą dla Wykonawcy), Zamawiający wyrazi zgodę na sprzedaż w cenie zbliżonej do rynkowej lub na wyłączenie tego produktu z umowy bez konieczności ponoszenia kary przez Wykonawcę?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B3EB7">
        <w:rPr>
          <w:rFonts w:ascii="Times New Roman" w:hAnsi="Times New Roman" w:cs="Times New Roman"/>
          <w:b/>
          <w:bCs/>
        </w:rPr>
        <w:t>Odpowiedzi Zamawiającego: Nie. Zamawiający podtrzymuje zapisy SWZ.</w:t>
      </w:r>
    </w:p>
    <w:p w14:paraId="411B6D3D" w14:textId="64A95524" w:rsidR="00DF49E2" w:rsidRDefault="00DF49E2" w:rsidP="00DF49E2">
      <w:pPr>
        <w:pStyle w:val="Akapitzlist"/>
        <w:numPr>
          <w:ilvl w:val="0"/>
          <w:numId w:val="4"/>
        </w:numPr>
        <w:autoSpaceDE w:val="0"/>
        <w:autoSpaceDN w:val="0"/>
      </w:pPr>
      <w:r>
        <w:t>Czy w trosce o uzyskanie najkorzystniejszych warunków zakupu oraz najwyższej jakości produktów Zamawiający w pakiecie 1 wyrazi zgodę na zaoferowanie produktów w opakowaniach typu worek „</w:t>
      </w:r>
      <w:proofErr w:type="spellStart"/>
      <w:r>
        <w:t>Viaflo</w:t>
      </w:r>
      <w:proofErr w:type="spellEnd"/>
      <w:r>
        <w:t xml:space="preserve">”, zmniejszający ryzyko wystąpienia zakażeń </w:t>
      </w:r>
      <w:proofErr w:type="spellStart"/>
      <w:r>
        <w:t>odcewnikowych</w:t>
      </w:r>
      <w:proofErr w:type="spellEnd"/>
      <w:r>
        <w:t xml:space="preserve"> o ponad 60% ? Zaproponowane rozwiązanie umożliwia podawanie wlewu kroplowego w </w:t>
      </w:r>
      <w:r w:rsidRPr="00DF49E2">
        <w:rPr>
          <w:b/>
          <w:bCs/>
        </w:rPr>
        <w:t>systemie zamkniętym</w:t>
      </w:r>
      <w:r>
        <w:t>.</w:t>
      </w:r>
      <w:r>
        <w:br/>
      </w:r>
      <w:r w:rsidRPr="00DF49E2">
        <w:rPr>
          <w:b/>
          <w:bCs/>
        </w:rPr>
        <w:t>Uzasadnienie:</w:t>
      </w:r>
    </w:p>
    <w:p w14:paraId="543A8BE9" w14:textId="77777777" w:rsidR="00DF49E2" w:rsidRDefault="00DF49E2" w:rsidP="00DF49E2">
      <w:r>
        <w:rPr>
          <w:b/>
          <w:bCs/>
        </w:rPr>
        <w:t xml:space="preserve">Wyrażenie zgody na zaoferowanie produktów w opakowaniu typu worki </w:t>
      </w:r>
      <w:proofErr w:type="spellStart"/>
      <w:r>
        <w:rPr>
          <w:b/>
          <w:bCs/>
        </w:rPr>
        <w:t>Viaflo</w:t>
      </w:r>
      <w:proofErr w:type="spellEnd"/>
      <w:r>
        <w:rPr>
          <w:b/>
          <w:bCs/>
        </w:rPr>
        <w:t xml:space="preserve"> zapewni Państwu podaż płynów infuzyjnych w systemie </w:t>
      </w:r>
      <w:proofErr w:type="spellStart"/>
      <w:r>
        <w:rPr>
          <w:b/>
          <w:bCs/>
        </w:rPr>
        <w:t>zamknietym</w:t>
      </w:r>
      <w:proofErr w:type="spellEnd"/>
      <w:r>
        <w:rPr>
          <w:b/>
          <w:bCs/>
        </w:rPr>
        <w:t xml:space="preserve">, co w obecnej sytuacji zagrożenia sanitarno-epidemiologicznego znacząco </w:t>
      </w:r>
      <w:proofErr w:type="spellStart"/>
      <w:r>
        <w:rPr>
          <w:b/>
          <w:bCs/>
        </w:rPr>
        <w:t>zwieksza</w:t>
      </w:r>
      <w:proofErr w:type="spellEnd"/>
      <w:r>
        <w:rPr>
          <w:b/>
          <w:bCs/>
        </w:rPr>
        <w:t xml:space="preserve"> bezpieczeństwo personelu medycznego oraz pacjentów. </w:t>
      </w:r>
      <w:r>
        <w:rPr>
          <w:b/>
          <w:bCs/>
        </w:rPr>
        <w:br/>
      </w:r>
      <w:r>
        <w:t xml:space="preserve">• zastosowanie opakowań typu worek </w:t>
      </w:r>
      <w:proofErr w:type="spellStart"/>
      <w:r>
        <w:t>Viaflo</w:t>
      </w:r>
      <w:proofErr w:type="spellEnd"/>
      <w:r>
        <w:t xml:space="preserve"> może w znaczny sposób wpłynąć na zmniejszenie ilości zakażeń związanych z linią naczyniową, ponieważ w celu opróżnienia opakowanie nie wymaga odpowietrzania, czyli wyeliminowana jest droga wnikania patogenów bezpośrednio do organizmu pacjenta</w:t>
      </w:r>
    </w:p>
    <w:p w14:paraId="65163FCF" w14:textId="77777777" w:rsidR="00DF49E2" w:rsidRDefault="00DF49E2" w:rsidP="00DF49E2">
      <w:r>
        <w:t xml:space="preserve">• redukcja zakażeń ma bezpośredni wpływ na bezpieczeństwo pacjentów, personelu oraz zmniejszenie kosztów, również tych związanych z ewentualnymi roszczeniami ze strony pacjentów </w:t>
      </w:r>
    </w:p>
    <w:p w14:paraId="219AE40F" w14:textId="77777777" w:rsidR="00DF49E2" w:rsidRDefault="00DF49E2" w:rsidP="00DF49E2">
      <w:r>
        <w:t xml:space="preserve">• worki </w:t>
      </w:r>
      <w:proofErr w:type="spellStart"/>
      <w:r>
        <w:t>Viaflo</w:t>
      </w:r>
      <w:proofErr w:type="spellEnd"/>
      <w:r>
        <w:t xml:space="preserve"> pakowane są w dodatkowe zewnętrzne opakowanie, dzięki czemu są dodatkowo chronione przed mechanicznymi uszkodzeniami i biologiczną kontaminacją </w:t>
      </w:r>
    </w:p>
    <w:p w14:paraId="4E2BD097" w14:textId="77777777" w:rsidR="00DF49E2" w:rsidRDefault="00DF49E2" w:rsidP="00DF49E2">
      <w:r>
        <w:t xml:space="preserve">• koszty utylizacji opróżnionych worków są nawet o 50% niższe, niż koszty utylizacji opróżnionych butelek </w:t>
      </w:r>
    </w:p>
    <w:p w14:paraId="01EE1317" w14:textId="77777777" w:rsidR="00DF49E2" w:rsidRDefault="00DF49E2" w:rsidP="00DF49E2">
      <w:r>
        <w:lastRenderedPageBreak/>
        <w:t>• składowanie produktów w opakowaniu typu worek wymaga znacznie mniejszej powierzchni magazynowej, ponieważ taka forma opakowania zajmuje mniej miejsca.</w:t>
      </w:r>
    </w:p>
    <w:p w14:paraId="255F11DA" w14:textId="3BA57A89" w:rsidR="00DF49E2" w:rsidRDefault="00DF49E2" w:rsidP="00DF49E2">
      <w:pPr>
        <w:spacing w:after="240"/>
      </w:pPr>
      <w:r>
        <w:t xml:space="preserve">Powyższa modyfikacja umożliwi przystąpienie do postępowania większej liczbie oferentów, co pozwoli Zamawiającemu na uzyskanie korzystniejszej oferty cenowej. </w:t>
      </w:r>
    </w:p>
    <w:p w14:paraId="7247AEC9" w14:textId="2131050D" w:rsidR="00DF49E2" w:rsidRDefault="00DF49E2" w:rsidP="00DF49E2">
      <w:pPr>
        <w:spacing w:after="240"/>
      </w:pPr>
      <w:r w:rsidRPr="009B3EB7">
        <w:rPr>
          <w:rFonts w:ascii="Times New Roman" w:hAnsi="Times New Roman" w:cs="Times New Roman"/>
          <w:b/>
          <w:bCs/>
        </w:rPr>
        <w:t>Odpowiedzi Zamawiającego</w:t>
      </w:r>
      <w:r w:rsidRPr="00BE27B6">
        <w:rPr>
          <w:rFonts w:ascii="Times New Roman" w:hAnsi="Times New Roman" w:cs="Times New Roman"/>
          <w:b/>
          <w:bCs/>
        </w:rPr>
        <w:t>: Tak.</w:t>
      </w:r>
    </w:p>
    <w:p w14:paraId="430959A5" w14:textId="2844AE75" w:rsidR="00DF49E2" w:rsidRDefault="00DF49E2" w:rsidP="00DF49E2">
      <w:pPr>
        <w:pStyle w:val="Akapitzlist"/>
        <w:numPr>
          <w:ilvl w:val="0"/>
          <w:numId w:val="4"/>
        </w:numPr>
      </w:pPr>
      <w:r>
        <w:t xml:space="preserve">Czy w trosce o uzyskanie najkorzystniejszych warunków zakupu Zamawiający wyrazi zgodę na zaoferowanie w Pakiecie 1 w pozycji nr 6 preparatu Mannitol o stężeniu15% w opakowaniu typu worek </w:t>
      </w:r>
      <w:proofErr w:type="spellStart"/>
      <w:r>
        <w:t>Viaflo</w:t>
      </w:r>
      <w:proofErr w:type="spellEnd"/>
      <w:r>
        <w:t xml:space="preserve"> o pojemności  100ml ponieważ: </w:t>
      </w:r>
    </w:p>
    <w:p w14:paraId="58C0D5E6" w14:textId="77777777" w:rsidR="00DF49E2" w:rsidRDefault="00DF49E2" w:rsidP="00DF49E2">
      <w:pPr>
        <w:spacing w:after="0" w:line="240" w:lineRule="auto"/>
        <w:ind w:left="720"/>
        <w:rPr>
          <w:rFonts w:eastAsia="Times New Roman"/>
        </w:rPr>
      </w:pPr>
      <w:r>
        <w:rPr>
          <w:rFonts w:eastAsia="Times New Roman"/>
        </w:rPr>
        <w:t xml:space="preserve">Mannitol 15% posiada w Polsce dokładnie tą samą rejestrację i dawkowanie </w:t>
      </w:r>
    </w:p>
    <w:p w14:paraId="78DAB2EA" w14:textId="77777777" w:rsidR="00DF49E2" w:rsidRDefault="00DF49E2" w:rsidP="00DF49E2">
      <w:pPr>
        <w:pStyle w:val="Akapitzlist"/>
        <w:rPr>
          <w:color w:val="000000"/>
          <w:lang w:val="en-US"/>
        </w:rPr>
      </w:pPr>
      <w:r>
        <w:rPr>
          <w:color w:val="000000"/>
        </w:rPr>
        <w:t>co Mannitol 20%</w:t>
      </w:r>
    </w:p>
    <w:p w14:paraId="790EBD74" w14:textId="77777777" w:rsidR="00DF49E2" w:rsidRDefault="00DF49E2" w:rsidP="00DF49E2">
      <w:pPr>
        <w:spacing w:after="0" w:line="240" w:lineRule="auto"/>
        <w:ind w:left="720"/>
        <w:rPr>
          <w:rFonts w:eastAsia="Times New Roman"/>
        </w:rPr>
      </w:pPr>
      <w:r>
        <w:rPr>
          <w:rFonts w:eastAsia="Times New Roman"/>
        </w:rPr>
        <w:t xml:space="preserve">Roztwory mannitolu 15% są korzystniejsze (w odniesieniu do właściwości fizyko-chemicznych) od roztworów 20%, gdyż nie krystalizują podczas przechowywania </w:t>
      </w:r>
    </w:p>
    <w:p w14:paraId="4587147C" w14:textId="77777777" w:rsidR="00DF49E2" w:rsidRDefault="00DF49E2" w:rsidP="00DF49E2">
      <w:pPr>
        <w:pStyle w:val="Akapitzlist"/>
        <w:rPr>
          <w:lang w:val="en-US"/>
        </w:rPr>
      </w:pPr>
      <w:r>
        <w:t>w temperaturze pokojowej</w:t>
      </w:r>
    </w:p>
    <w:p w14:paraId="6A29B0EF" w14:textId="77777777" w:rsidR="00DF49E2" w:rsidRDefault="00DF49E2" w:rsidP="00DF49E2">
      <w:pPr>
        <w:pStyle w:val="Default"/>
        <w:ind w:left="720"/>
        <w:rPr>
          <w:rFonts w:ascii="Calibri" w:eastAsia="Times New Roman" w:hAnsi="Calibri" w:cs="Calibri"/>
          <w:sz w:val="22"/>
          <w:szCs w:val="22"/>
        </w:rPr>
      </w:pPr>
      <w:proofErr w:type="spellStart"/>
      <w:r>
        <w:rPr>
          <w:rFonts w:ascii="Calibri" w:eastAsia="Times New Roman" w:hAnsi="Calibri" w:cs="Calibri"/>
          <w:sz w:val="22"/>
          <w:szCs w:val="22"/>
        </w:rPr>
        <w:t>Manintol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15%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zwieksza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bezpieczeństwo pacjentów, ponieważ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zmniejasza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ryzyko krystalizacji, pozwala na stosowanie Mannitolu w każdej chwili, bez konieczności wcześniejszego ogrzewania, zmniejsza koszty związane z podgrzewaniem 20% Mannitolu</w:t>
      </w:r>
    </w:p>
    <w:p w14:paraId="5C75C37F" w14:textId="77777777" w:rsidR="00DF49E2" w:rsidRDefault="00DF49E2" w:rsidP="00DF49E2">
      <w:pPr>
        <w:pStyle w:val="Default"/>
        <w:ind w:left="720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Mannitol 15% w worku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Viaflo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, to lżejsze opakowanie, czyli mniejsze koszty utylizacji  </w:t>
      </w:r>
    </w:p>
    <w:p w14:paraId="2CD9D6F3" w14:textId="77777777" w:rsidR="00DF49E2" w:rsidRDefault="00DF49E2" w:rsidP="00DF49E2">
      <w:pPr>
        <w:pStyle w:val="Default"/>
        <w:ind w:left="720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Mannitol 15% w worku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Viaflo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to brak ryzyka stłuczenia opakowania</w:t>
      </w:r>
    </w:p>
    <w:p w14:paraId="3C17ECC3" w14:textId="77777777" w:rsidR="00DF49E2" w:rsidRDefault="00DF49E2" w:rsidP="00DF49E2">
      <w:pPr>
        <w:pStyle w:val="Default"/>
        <w:ind w:left="720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Mannitol 15% w worku to brak ryzyka odklejenia nalepki w czasie podgrzewania preparatu podczas kąpieli parowej, ponieważ opis nadrukowany jest na opakowaniu.</w:t>
      </w:r>
    </w:p>
    <w:p w14:paraId="7CE2CF6D" w14:textId="77777777" w:rsidR="00DF49E2" w:rsidRDefault="00DF49E2" w:rsidP="00DF49E2">
      <w:pPr>
        <w:pStyle w:val="Default"/>
        <w:ind w:left="720"/>
        <w:rPr>
          <w:rFonts w:ascii="Calibri" w:hAnsi="Calibri" w:cs="Calibri"/>
          <w:sz w:val="22"/>
          <w:szCs w:val="22"/>
        </w:rPr>
      </w:pPr>
    </w:p>
    <w:p w14:paraId="243C7997" w14:textId="77777777" w:rsidR="00DF49E2" w:rsidRDefault="00DF49E2" w:rsidP="00DF49E2">
      <w:r>
        <w:t>Powyższa modyfikacja umożliwi przystąpienie do postępowania większej liczbie oferentów, co pozwoli Zamawiającemu na uzyskanie korzystniejszej oferty cenowej.</w:t>
      </w:r>
    </w:p>
    <w:p w14:paraId="15AF7672" w14:textId="7001BE6E" w:rsidR="00DF49E2" w:rsidRDefault="00DF49E2" w:rsidP="00DF49E2">
      <w:r w:rsidRPr="009B3EB7">
        <w:rPr>
          <w:rFonts w:ascii="Times New Roman" w:hAnsi="Times New Roman" w:cs="Times New Roman"/>
          <w:b/>
          <w:bCs/>
        </w:rPr>
        <w:t>Odpowiedzi Zamawiającego</w:t>
      </w:r>
      <w:r w:rsidRPr="00BE27B6">
        <w:rPr>
          <w:rFonts w:ascii="Times New Roman" w:hAnsi="Times New Roman" w:cs="Times New Roman"/>
          <w:b/>
          <w:bCs/>
        </w:rPr>
        <w:t>: Tak.</w:t>
      </w:r>
    </w:p>
    <w:p w14:paraId="6FFEDB18" w14:textId="075FB129" w:rsidR="00DF49E2" w:rsidRPr="009B3EB7" w:rsidRDefault="00DF49E2" w:rsidP="00DF49E2">
      <w:pPr>
        <w:pStyle w:val="Akapitzlist"/>
        <w:numPr>
          <w:ilvl w:val="0"/>
          <w:numId w:val="4"/>
        </w:numPr>
        <w:rPr>
          <w:rFonts w:ascii="Times New Roman" w:hAnsi="Times New Roman" w:cs="Times New Roman"/>
        </w:rPr>
      </w:pPr>
      <w:r>
        <w:t xml:space="preserve">Czy w trosce o uzyskanie najkorzystniejszych warunków zakupu oraz najwyższej jakości produktów </w:t>
      </w:r>
      <w:r>
        <w:rPr>
          <w:i/>
          <w:iCs/>
        </w:rPr>
        <w:t>Zamawiający</w:t>
      </w:r>
      <w:r>
        <w:t xml:space="preserve"> w pakiecie 38 w pozycjach 1 i 2   wyrazi zgodę na zaoferowanie produktów w opakowaniu typu worki </w:t>
      </w:r>
      <w:proofErr w:type="spellStart"/>
      <w:r>
        <w:t>Viaflo</w:t>
      </w:r>
      <w:proofErr w:type="spellEnd"/>
      <w:r>
        <w:t xml:space="preserve">, które w przeciwieństwie do butelek </w:t>
      </w:r>
      <w:proofErr w:type="spellStart"/>
      <w:r>
        <w:t>zmiejszają</w:t>
      </w:r>
      <w:proofErr w:type="spellEnd"/>
      <w:r>
        <w:t xml:space="preserve"> ryzyko wystąpienia zakażeń </w:t>
      </w:r>
      <w:proofErr w:type="spellStart"/>
      <w:r>
        <w:t>odcewnikowych</w:t>
      </w:r>
      <w:proofErr w:type="spellEnd"/>
      <w:r>
        <w:t xml:space="preserve"> o ponad 60%, gdyż dzięki swojej konstrukcji jako jedyne umożliwiają podawanie wlewu kroplowego w systemie zamkniętym? Co więcej koszt utylizacji opróżnionych worków jest o 50% niższy niż w przypadku butelek</w:t>
      </w:r>
    </w:p>
    <w:p w14:paraId="3C5D4830" w14:textId="0DF386D0" w:rsidR="009B3EB7" w:rsidRPr="009B3EB7" w:rsidRDefault="00DF49E2" w:rsidP="009B3EB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B3EB7">
        <w:rPr>
          <w:rFonts w:ascii="Times New Roman" w:hAnsi="Times New Roman" w:cs="Times New Roman"/>
          <w:b/>
          <w:bCs/>
        </w:rPr>
        <w:t>Odpowiedzi Zamawiającego</w:t>
      </w:r>
      <w:r w:rsidRPr="00BE27B6">
        <w:rPr>
          <w:rFonts w:ascii="Times New Roman" w:hAnsi="Times New Roman" w:cs="Times New Roman"/>
          <w:b/>
          <w:bCs/>
        </w:rPr>
        <w:t>: Tak.</w:t>
      </w:r>
    </w:p>
    <w:p w14:paraId="61A71D65" w14:textId="77777777" w:rsidR="009B3EB7" w:rsidRPr="009B3EB7" w:rsidRDefault="009B3EB7" w:rsidP="009B3EB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31FA23A" w14:textId="77777777" w:rsidR="009B3EB7" w:rsidRPr="009B3EB7" w:rsidRDefault="009B3EB7" w:rsidP="009B3E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EB7">
        <w:rPr>
          <w:rFonts w:ascii="Times New Roman" w:hAnsi="Times New Roman" w:cs="Times New Roman"/>
        </w:rPr>
        <w:t xml:space="preserve">Zamawiający informuje uczestników postępowania o przysługujących środkach ochrony prawnej, zgodnie z Działem VI </w:t>
      </w:r>
      <w:proofErr w:type="spellStart"/>
      <w:r w:rsidRPr="009B3EB7">
        <w:rPr>
          <w:rFonts w:ascii="Times New Roman" w:hAnsi="Times New Roman" w:cs="Times New Roman"/>
        </w:rPr>
        <w:t>uPzp</w:t>
      </w:r>
      <w:proofErr w:type="spellEnd"/>
      <w:r w:rsidRPr="009B3EB7">
        <w:rPr>
          <w:rFonts w:ascii="Times New Roman" w:hAnsi="Times New Roman" w:cs="Times New Roman"/>
        </w:rPr>
        <w:t>.</w:t>
      </w:r>
    </w:p>
    <w:p w14:paraId="4F9F728C" w14:textId="77777777" w:rsidR="009B3EB7" w:rsidRPr="009B3EB7" w:rsidRDefault="009B3EB7" w:rsidP="009B3E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FA38C8" w14:textId="04915FCD" w:rsidR="009B3EB7" w:rsidRPr="009B3EB7" w:rsidRDefault="009B3EB7" w:rsidP="009B3EB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3EB7">
        <w:rPr>
          <w:rFonts w:ascii="Times New Roman" w:hAnsi="Times New Roman" w:cs="Times New Roman"/>
          <w:sz w:val="24"/>
          <w:szCs w:val="24"/>
        </w:rPr>
        <w:t>Kolbuszowa 0</w:t>
      </w:r>
      <w:r w:rsidR="001064A8">
        <w:rPr>
          <w:rFonts w:ascii="Times New Roman" w:hAnsi="Times New Roman" w:cs="Times New Roman"/>
          <w:sz w:val="24"/>
          <w:szCs w:val="24"/>
        </w:rPr>
        <w:t>8</w:t>
      </w:r>
      <w:r w:rsidRPr="009B3EB7">
        <w:rPr>
          <w:rFonts w:ascii="Times New Roman" w:hAnsi="Times New Roman" w:cs="Times New Roman"/>
          <w:sz w:val="24"/>
          <w:szCs w:val="24"/>
        </w:rPr>
        <w:t>.08.2022r,</w:t>
      </w:r>
    </w:p>
    <w:p w14:paraId="446114EA" w14:textId="77777777" w:rsidR="009B3EB7" w:rsidRPr="009B3EB7" w:rsidRDefault="009B3EB7" w:rsidP="009B3E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6C410E" w14:textId="77777777" w:rsidR="009B3EB7" w:rsidRPr="009B3EB7" w:rsidRDefault="009B3EB7" w:rsidP="009B3EB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9B3EB7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63088D13" w14:textId="77777777" w:rsidR="009B3EB7" w:rsidRPr="009B3EB7" w:rsidRDefault="009B3EB7" w:rsidP="009B3EB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9B3EB7">
        <w:rPr>
          <w:rFonts w:ascii="Times New Roman" w:hAnsi="Times New Roman" w:cs="Times New Roman"/>
          <w:sz w:val="20"/>
          <w:szCs w:val="20"/>
        </w:rPr>
        <w:t>ZBIGNIEW STRZELCZYK</w:t>
      </w:r>
    </w:p>
    <w:p w14:paraId="5A190DAF" w14:textId="77777777" w:rsidR="009B3EB7" w:rsidRPr="009B3EB7" w:rsidRDefault="009B3EB7" w:rsidP="009B3EB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9B3EB7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0E2ECF1D" w14:textId="77777777" w:rsidR="009B3EB7" w:rsidRPr="009B3EB7" w:rsidRDefault="009B3EB7" w:rsidP="009B3EB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9B3EB7">
        <w:rPr>
          <w:rFonts w:ascii="Times New Roman" w:hAnsi="Times New Roman" w:cs="Times New Roman"/>
          <w:sz w:val="20"/>
          <w:szCs w:val="20"/>
        </w:rPr>
        <w:t>/Podpis osoby uprawnionej/</w:t>
      </w:r>
    </w:p>
    <w:p w14:paraId="74DBC5B1" w14:textId="77777777" w:rsidR="00BC20D3" w:rsidRDefault="00BC20D3"/>
    <w:sectPr w:rsidR="00BC20D3" w:rsidSect="00454E6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2459DD"/>
    <w:multiLevelType w:val="hybridMultilevel"/>
    <w:tmpl w:val="480EBB9E"/>
    <w:lvl w:ilvl="0" w:tplc="CF4668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C91FAB"/>
    <w:multiLevelType w:val="hybridMultilevel"/>
    <w:tmpl w:val="B0CAB50C"/>
    <w:lvl w:ilvl="0" w:tplc="0CCC53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3A0CCF"/>
    <w:multiLevelType w:val="hybridMultilevel"/>
    <w:tmpl w:val="761A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253BD0"/>
    <w:multiLevelType w:val="hybridMultilevel"/>
    <w:tmpl w:val="F91C34F8"/>
    <w:lvl w:ilvl="0" w:tplc="8208F632">
      <w:start w:val="32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2D4DD9"/>
    <w:multiLevelType w:val="hybridMultilevel"/>
    <w:tmpl w:val="DE0ACA6C"/>
    <w:lvl w:ilvl="0" w:tplc="CA9C7480">
      <w:start w:val="5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8238072">
    <w:abstractNumId w:val="0"/>
  </w:num>
  <w:num w:numId="2" w16cid:durableId="839854556">
    <w:abstractNumId w:val="3"/>
  </w:num>
  <w:num w:numId="3" w16cid:durableId="558711301">
    <w:abstractNumId w:val="4"/>
  </w:num>
  <w:num w:numId="4" w16cid:durableId="416899723">
    <w:abstractNumId w:val="1"/>
  </w:num>
  <w:num w:numId="5" w16cid:durableId="11309743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EB7"/>
    <w:rsid w:val="000E33A5"/>
    <w:rsid w:val="001064A8"/>
    <w:rsid w:val="00213865"/>
    <w:rsid w:val="003C3BCA"/>
    <w:rsid w:val="009B3EB7"/>
    <w:rsid w:val="00BC20D3"/>
    <w:rsid w:val="00BE27B6"/>
    <w:rsid w:val="00DF4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0B5A3"/>
  <w15:chartTrackingRefBased/>
  <w15:docId w15:val="{E35AB191-5796-45E2-8F0D-8AD5EC4AF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3EB7"/>
    <w:pPr>
      <w:ind w:left="720"/>
      <w:contextualSpacing/>
    </w:pPr>
  </w:style>
  <w:style w:type="paragraph" w:customStyle="1" w:styleId="Default">
    <w:name w:val="Default"/>
    <w:basedOn w:val="Normalny"/>
    <w:rsid w:val="00DF49E2"/>
    <w:pPr>
      <w:autoSpaceDE w:val="0"/>
      <w:autoSpaceDN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1169</Words>
  <Characters>7018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2022-08-08T12:37:00Z</cp:lastPrinted>
  <dcterms:created xsi:type="dcterms:W3CDTF">2022-08-05T06:50:00Z</dcterms:created>
  <dcterms:modified xsi:type="dcterms:W3CDTF">2022-08-08T12:38:00Z</dcterms:modified>
</cp:coreProperties>
</file>