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E1C0C" w14:textId="6761B748" w:rsidR="007B38A7" w:rsidRPr="001E1C95" w:rsidRDefault="00AB0114" w:rsidP="00334153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E1C95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</w:p>
    <w:p w14:paraId="2AC1418A" w14:textId="3AF55FA8" w:rsidR="00AB0114" w:rsidRPr="001E1C95" w:rsidRDefault="00AB0114" w:rsidP="00334153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E1C95">
        <w:rPr>
          <w:rFonts w:ascii="Times New Roman" w:hAnsi="Times New Roman" w:cs="Times New Roman"/>
          <w:b/>
          <w:bCs/>
          <w:sz w:val="24"/>
          <w:szCs w:val="24"/>
        </w:rPr>
        <w:t>Szczegółowy opis przedmiotu zamówienia</w:t>
      </w:r>
    </w:p>
    <w:p w14:paraId="72638F43" w14:textId="707C03D5" w:rsidR="00AB0114" w:rsidRPr="001E1C95" w:rsidRDefault="00AB0114" w:rsidP="00334153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0AC0461" w14:textId="77777777" w:rsidR="00AB0114" w:rsidRPr="001E1C95" w:rsidRDefault="00AB0114" w:rsidP="00334153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256CD2F" w14:textId="77777777" w:rsidR="007B38A7" w:rsidRPr="001E1C95" w:rsidRDefault="007B38A7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1C95">
        <w:rPr>
          <w:rFonts w:ascii="Times New Roman" w:hAnsi="Times New Roman" w:cs="Times New Roman"/>
          <w:b/>
          <w:bCs/>
          <w:sz w:val="24"/>
          <w:szCs w:val="24"/>
        </w:rPr>
        <w:t>Okresow</w:t>
      </w:r>
      <w:r w:rsidR="003C7A4A" w:rsidRPr="001E1C9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E1C95">
        <w:rPr>
          <w:rFonts w:ascii="Times New Roman" w:hAnsi="Times New Roman" w:cs="Times New Roman"/>
          <w:b/>
          <w:bCs/>
          <w:sz w:val="24"/>
          <w:szCs w:val="24"/>
        </w:rPr>
        <w:t xml:space="preserve"> inspekcję całego systemu SMART Coater, w tym:</w:t>
      </w:r>
    </w:p>
    <w:p w14:paraId="570A28DD" w14:textId="158428B4" w:rsidR="007B38A7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Przegląd i kalibracja układu podawania wyprasek ceramicznych w komorze roboczej,</w:t>
      </w:r>
    </w:p>
    <w:p w14:paraId="3BCE873F" w14:textId="201F20D9" w:rsidR="00B663CF" w:rsidRPr="001E1C95" w:rsidRDefault="00B663CF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wymagane przeprowadzenie procesu pozycjonowania dwóch systemów podawania wyprasek ceramicznych zgodnie z wymaganiami producenta, tj. zerowanie pozycji dwóch popychaczy z poziomem krawędzi tygli miedzianych w komorze pokryć. </w:t>
      </w:r>
    </w:p>
    <w:p w14:paraId="7D274803" w14:textId="4655E44F" w:rsidR="00B663CF" w:rsidRPr="001E1C95" w:rsidRDefault="00B663CF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korekcja prędkości podawania wyprasek wraz z kalibracją ruchu obu popychaczy przy skrajnych prędkościach: 1mm/min oraz 20 mm/min, jak i również prędkościach pośrednich, tj. przy 4, 8, 12 i 16 mm/min. Wymagane przeprowadzenie kalibracji ruchu popychaczy dla dwóch karuzel rewolwerowych, dla każdego położenia wypraski w podajniku;</w:t>
      </w:r>
    </w:p>
    <w:p w14:paraId="670289E8" w14:textId="5A232924" w:rsidR="00B663CF" w:rsidRPr="001E1C95" w:rsidRDefault="00B663CF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wymagane przedstawienie wyników pomiaru pozycji popychaczy (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feeders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) </w:t>
      </w:r>
      <w:r w:rsidR="00B37E01" w:rsidRPr="001E1C95">
        <w:rPr>
          <w:rFonts w:ascii="Times New Roman" w:hAnsi="Times New Roman" w:cs="Times New Roman"/>
          <w:sz w:val="24"/>
          <w:szCs w:val="24"/>
        </w:rPr>
        <w:t>dla wskazanych prędkości podawania wyprasek w formie tabeli, w pliku załączonym do dokumentacji niniejszego zamówienia</w:t>
      </w:r>
      <w:r w:rsidR="00ED6470" w:rsidRPr="001E1C95">
        <w:rPr>
          <w:rFonts w:ascii="Times New Roman" w:hAnsi="Times New Roman" w:cs="Times New Roman"/>
          <w:sz w:val="24"/>
          <w:szCs w:val="24"/>
        </w:rPr>
        <w:t>;</w:t>
      </w:r>
    </w:p>
    <w:p w14:paraId="67717BFF" w14:textId="11EE3F45" w:rsidR="00ED6470" w:rsidRPr="001E1C95" w:rsidRDefault="00ED6470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wymianą czujników posuwu (czujniki zbliżeniowe typu: 10 to 30V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/dc np. NO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Festo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LED: Tak IP65, IP67 x 6 sztuk)</w:t>
      </w:r>
    </w:p>
    <w:p w14:paraId="7083A434" w14:textId="77777777" w:rsidR="00334153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Przegląd</w:t>
      </w:r>
      <w:r w:rsidR="00B37E01" w:rsidRPr="001E1C95">
        <w:rPr>
          <w:rFonts w:ascii="Times New Roman" w:hAnsi="Times New Roman" w:cs="Times New Roman"/>
          <w:sz w:val="24"/>
          <w:szCs w:val="24"/>
        </w:rPr>
        <w:t xml:space="preserve"> polegający na sprawdzeniu mocowań w komorze pokryć</w:t>
      </w:r>
      <w:r w:rsidRPr="001E1C95">
        <w:rPr>
          <w:rFonts w:ascii="Times New Roman" w:hAnsi="Times New Roman" w:cs="Times New Roman"/>
          <w:sz w:val="24"/>
          <w:szCs w:val="24"/>
        </w:rPr>
        <w:t xml:space="preserve"> siat</w:t>
      </w:r>
      <w:r w:rsidR="00B37E01" w:rsidRPr="001E1C95">
        <w:rPr>
          <w:rFonts w:ascii="Times New Roman" w:hAnsi="Times New Roman" w:cs="Times New Roman"/>
          <w:sz w:val="24"/>
          <w:szCs w:val="24"/>
        </w:rPr>
        <w:t>ek</w:t>
      </w:r>
      <w:r w:rsidRPr="001E1C95">
        <w:rPr>
          <w:rFonts w:ascii="Times New Roman" w:hAnsi="Times New Roman" w:cs="Times New Roman"/>
          <w:sz w:val="24"/>
          <w:szCs w:val="24"/>
        </w:rPr>
        <w:t xml:space="preserve"> kondensacyjn</w:t>
      </w:r>
      <w:r w:rsidR="00B37E01" w:rsidRPr="001E1C95">
        <w:rPr>
          <w:rFonts w:ascii="Times New Roman" w:hAnsi="Times New Roman" w:cs="Times New Roman"/>
          <w:sz w:val="24"/>
          <w:szCs w:val="24"/>
        </w:rPr>
        <w:t>ych i wymiana siatki zamocowanej w górnej czę</w:t>
      </w:r>
      <w:r w:rsidR="005473D6" w:rsidRPr="001E1C95">
        <w:rPr>
          <w:rFonts w:ascii="Times New Roman" w:hAnsi="Times New Roman" w:cs="Times New Roman"/>
          <w:sz w:val="24"/>
          <w:szCs w:val="24"/>
        </w:rPr>
        <w:t>ś</w:t>
      </w:r>
      <w:r w:rsidR="00B37E01" w:rsidRPr="001E1C95">
        <w:rPr>
          <w:rFonts w:ascii="Times New Roman" w:hAnsi="Times New Roman" w:cs="Times New Roman"/>
          <w:sz w:val="24"/>
          <w:szCs w:val="24"/>
        </w:rPr>
        <w:t>ci</w:t>
      </w:r>
      <w:r w:rsidR="005473D6" w:rsidRPr="001E1C95">
        <w:rPr>
          <w:rFonts w:ascii="Times New Roman" w:hAnsi="Times New Roman" w:cs="Times New Roman"/>
          <w:sz w:val="24"/>
          <w:szCs w:val="24"/>
        </w:rPr>
        <w:t xml:space="preserve"> komory – siatka jest odkształcona;</w:t>
      </w:r>
    </w:p>
    <w:p w14:paraId="567B96EA" w14:textId="053C2C7E" w:rsidR="005473D6" w:rsidRPr="001E1C95" w:rsidRDefault="005473D6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dodatkowo wymagana jest naprawa komory pokryć (elementy ze stopu miedzi) w obszarze oddziaływania wiązki elektronów w strefie wejścia wiązki do komory (miejsce zaznaczone na zdjęciu nr 1 oraz 2). Na zdjęciach widoczne jest uszkodzenie elementów komory odpowiadających za chłodzenie strefy wejścia wiązki do wewnętrznej komory pokryć – widoczna zmiana koloru powierzchni miedzianych w wyniku oddziaływania wysokiej temperatury. Na zdjęciu nr 2 widoczne nadtopione części blaszane komory, które wymagają naprawy;</w:t>
      </w:r>
    </w:p>
    <w:p w14:paraId="5E596686" w14:textId="77777777" w:rsidR="00ED6470" w:rsidRPr="001E1C95" w:rsidRDefault="00FE1C6A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lastRenderedPageBreak/>
        <w:fldChar w:fldCharType="begin"/>
      </w:r>
      <w:r w:rsidRPr="001E1C95">
        <w:rPr>
          <w:rFonts w:ascii="Times New Roman" w:hAnsi="Times New Roman" w:cs="Times New Roman"/>
          <w:sz w:val="24"/>
          <w:szCs w:val="24"/>
        </w:rPr>
        <w:instrText xml:space="preserve"> INCLUDEPICTURE "cid:C2F0B084-42CC-4F1F-8702-5964210D6620" \* MERGEFORMATINET </w:instrText>
      </w:r>
      <w:r w:rsidRPr="001E1C95">
        <w:rPr>
          <w:rFonts w:ascii="Times New Roman" w:hAnsi="Times New Roman" w:cs="Times New Roman"/>
          <w:sz w:val="24"/>
          <w:szCs w:val="24"/>
        </w:rPr>
        <w:fldChar w:fldCharType="separate"/>
      </w:r>
      <w:r w:rsidRPr="001E1C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36A37BF0" wp14:editId="38D6790F">
                <wp:extent cx="307975" cy="307975"/>
                <wp:effectExtent l="0" t="0" r="0" b="0"/>
                <wp:docPr id="1" name="Prostokąt 1" descr="IMG_210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78F61587" id="Prostokąt 1" o:spid="_x0000_s1026" alt="IMG_2109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" filled="f" stroked="f">
                <o:lock v:ext="edit" aspectratio="t"/>
                <w10:anchorlock/>
              </v:rect>
            </w:pict>
          </mc:Fallback>
        </mc:AlternateContent>
      </w:r>
      <w:r w:rsidRPr="001E1C95">
        <w:rPr>
          <w:rFonts w:ascii="Times New Roman" w:hAnsi="Times New Roman" w:cs="Times New Roman"/>
          <w:sz w:val="24"/>
          <w:szCs w:val="24"/>
        </w:rPr>
        <w:fldChar w:fldCharType="end"/>
      </w:r>
      <w:r w:rsidRPr="001E1C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EF0A3F" wp14:editId="6B68C589">
            <wp:extent cx="3498979" cy="2624234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07972" cy="263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0284" w14:textId="77777777" w:rsidR="00FE1C6A" w:rsidRPr="001E1C95" w:rsidRDefault="00FE1C6A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Zdjęcie nr 1.</w:t>
      </w:r>
    </w:p>
    <w:p w14:paraId="08D041A5" w14:textId="77777777" w:rsidR="00FE1C6A" w:rsidRPr="001E1C95" w:rsidRDefault="00FE1C6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73198E" w14:textId="77777777" w:rsidR="00FE1C6A" w:rsidRPr="001E1C95" w:rsidRDefault="00FE1C6A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6F10E2" wp14:editId="18E7682C">
            <wp:extent cx="2500604" cy="3334139"/>
            <wp:effectExtent l="0" t="0" r="190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08473" cy="3344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8226C" w14:textId="77777777" w:rsidR="00FE1C6A" w:rsidRPr="001E1C95" w:rsidRDefault="00FE1C6A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Zdjęcie nr 2.</w:t>
      </w:r>
    </w:p>
    <w:p w14:paraId="773D47CC" w14:textId="77777777" w:rsidR="00FE1C6A" w:rsidRPr="001E1C95" w:rsidRDefault="00FE1C6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850A7" w14:textId="77777777" w:rsidR="00FE1C6A" w:rsidRPr="001E1C95" w:rsidRDefault="00FE1C6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D006D8" w14:textId="6DA38553" w:rsidR="00334153" w:rsidRPr="001E1C95" w:rsidRDefault="005473D6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wymagana jest również kontrola (po dokładnym wyczyszczeniu z pozostałości ceramiki, z powierzchni metalowych instalacji) elementów dystrybucji gazów </w:t>
      </w:r>
      <w:r w:rsidR="007B38A7" w:rsidRPr="001E1C95">
        <w:rPr>
          <w:rFonts w:ascii="Times New Roman" w:hAnsi="Times New Roman" w:cs="Times New Roman"/>
          <w:sz w:val="24"/>
          <w:szCs w:val="24"/>
        </w:rPr>
        <w:t>w komorze roboczej</w:t>
      </w:r>
      <w:r w:rsidRPr="001E1C95">
        <w:rPr>
          <w:rFonts w:ascii="Times New Roman" w:hAnsi="Times New Roman" w:cs="Times New Roman"/>
          <w:sz w:val="24"/>
          <w:szCs w:val="24"/>
        </w:rPr>
        <w:t xml:space="preserve"> (zdjęcie nr 3), wymagany jest demontaż instalacji, sprawdzenie i ewentualna naprawa poprzez przetoczenie elementów rurowych instalacji, z dostosowaniem otworów dystrybucyjnych gaz do średnicy wyjściowej, tj. 1,5 mm;</w:t>
      </w:r>
    </w:p>
    <w:p w14:paraId="353EC0D5" w14:textId="650CE2CF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1058E41" w14:textId="77777777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73F25F" wp14:editId="7C2617A6">
            <wp:extent cx="4376057" cy="3282043"/>
            <wp:effectExtent l="0" t="0" r="571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7374" cy="3290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F2A3B" w14:textId="77777777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Zdjęcie nr 3.</w:t>
      </w:r>
    </w:p>
    <w:p w14:paraId="5ABE490E" w14:textId="77777777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0FBF684" w14:textId="77777777" w:rsidR="00334153" w:rsidRPr="001E1C95" w:rsidRDefault="005473D6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kalibracja polegająca na przetoczeniu wewnętrznych otworów dwóch tygli ceramicznych </w:t>
      </w:r>
      <w:r w:rsidR="00DF68E0" w:rsidRPr="001E1C95">
        <w:rPr>
          <w:rFonts w:ascii="Times New Roman" w:hAnsi="Times New Roman" w:cs="Times New Roman"/>
          <w:sz w:val="24"/>
          <w:szCs w:val="24"/>
        </w:rPr>
        <w:t>do średnicy 2,5” (tolerancja wymiaru +/- 0,1 mm) – wymagany jest demontaż systemu tygli, przetoczenie i ponowna instalacja. Demontaż wymaga odpompowania wody z układu chłodzenia całego systemu Smart Coater, jak i również z systemu chłodzenia kontenerowego GWK, demontaż wszystkich elementów elektroniki i automatyki, usunięcie z komory podstawy systemy podawania wlewków, demontaż układu chłodzenia tygli. Po przetoczeniu wymagana ponowna instalacja, kalibracji tygli w korelacji z systemem podawania wyprasek ceramicznych– (wg punktu 9a – czyli wykonanie tego etapu prac serwisowych powinno być zrealizowane przed przeprowadzeniem przeglądu i kalibracji układu podawania wyprasek)</w:t>
      </w:r>
    </w:p>
    <w:p w14:paraId="25B2B6AD" w14:textId="5416DCD1" w:rsidR="00334153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Sprawdzenie pozycji zaworu typu „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shutter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>” dla wszystkich pozycji podajnika próbek,</w:t>
      </w:r>
      <w:r w:rsidR="00DF68E0" w:rsidRPr="001E1C95">
        <w:rPr>
          <w:rFonts w:ascii="Times New Roman" w:hAnsi="Times New Roman" w:cs="Times New Roman"/>
          <w:sz w:val="24"/>
          <w:szCs w:val="24"/>
        </w:rPr>
        <w:t xml:space="preserve"> przy uwzględnieniu zmiany pozycji karuzelowego podajnika rewolwerowego z popychaczem w pozycji skrajnej dolnej i górnej – ten element prac serwisowych wymaga również wymiany uszkodzonego systemu „</w:t>
      </w:r>
      <w:proofErr w:type="spellStart"/>
      <w:r w:rsidR="00DF68E0" w:rsidRPr="001E1C95">
        <w:rPr>
          <w:rFonts w:ascii="Times New Roman" w:hAnsi="Times New Roman" w:cs="Times New Roman"/>
          <w:sz w:val="24"/>
          <w:szCs w:val="24"/>
        </w:rPr>
        <w:t>feed</w:t>
      </w:r>
      <w:proofErr w:type="spellEnd"/>
      <w:r w:rsidR="00DF68E0" w:rsidRPr="001E1C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68E0" w:rsidRPr="001E1C95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DF68E0" w:rsidRPr="001E1C95">
        <w:rPr>
          <w:rFonts w:ascii="Times New Roman" w:hAnsi="Times New Roman" w:cs="Times New Roman"/>
          <w:sz w:val="24"/>
          <w:szCs w:val="24"/>
        </w:rPr>
        <w:t>” (zdjęcie nr 4)</w:t>
      </w:r>
    </w:p>
    <w:p w14:paraId="0C223331" w14:textId="0EF552EC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A3658" w14:textId="77777777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21DE15B" wp14:editId="0F5B3DCC">
            <wp:extent cx="2789853" cy="3719804"/>
            <wp:effectExtent l="0" t="0" r="4445" b="190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4476" cy="372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3BAB0" w14:textId="77777777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Zdjęcie nr 4.</w:t>
      </w:r>
    </w:p>
    <w:p w14:paraId="198AA575" w14:textId="77777777" w:rsidR="00334153" w:rsidRPr="001E1C95" w:rsidRDefault="00334153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A5BF57" w14:textId="77777777" w:rsidR="00334153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Smarowanie teleskopowego systemu posuwu podajnika próbek</w:t>
      </w:r>
      <w:r w:rsidR="00DF68E0" w:rsidRPr="001E1C95">
        <w:rPr>
          <w:rFonts w:ascii="Times New Roman" w:hAnsi="Times New Roman" w:cs="Times New Roman"/>
          <w:sz w:val="24"/>
          <w:szCs w:val="24"/>
        </w:rPr>
        <w:t xml:space="preserve"> = systemu pracującego w warunkach wysokiej próżni. Wymagane wiec użycie smarów przystosowanych do użycia w aplikacjach próżniowych. Wymagana po smarowania kalibracja systemu podawania próbek w sposób zgodny z prowadzonymi procedurami pokryć w warunkach pracy urządzenia:</w:t>
      </w:r>
    </w:p>
    <w:p w14:paraId="3A012AB5" w14:textId="5280CAB0" w:rsidR="00334153" w:rsidRPr="001E1C95" w:rsidRDefault="00DF68E0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instalacja na 3 ruchomych podajnikach elementów zgodnych z geometrią łopatek, sprawdzenie systemu obrotu próbek – z kalibracją przy skrajnych prędkościach obrotowych</w:t>
      </w:r>
      <w:r w:rsidR="00010A9C" w:rsidRPr="001E1C95">
        <w:rPr>
          <w:rFonts w:ascii="Times New Roman" w:hAnsi="Times New Roman" w:cs="Times New Roman"/>
          <w:sz w:val="24"/>
          <w:szCs w:val="24"/>
        </w:rPr>
        <w:t xml:space="preserve"> – kalibracja silników krokowych w odniesieniu do „</w:t>
      </w:r>
      <w:proofErr w:type="spellStart"/>
      <w:r w:rsidR="00010A9C" w:rsidRPr="001E1C95">
        <w:rPr>
          <w:rFonts w:ascii="Times New Roman" w:hAnsi="Times New Roman" w:cs="Times New Roman"/>
          <w:sz w:val="24"/>
          <w:szCs w:val="24"/>
        </w:rPr>
        <w:t>rotation</w:t>
      </w:r>
      <w:proofErr w:type="spellEnd"/>
      <w:r w:rsidR="00010A9C" w:rsidRPr="001E1C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A9C" w:rsidRPr="001E1C95">
        <w:rPr>
          <w:rFonts w:ascii="Times New Roman" w:hAnsi="Times New Roman" w:cs="Times New Roman"/>
          <w:sz w:val="24"/>
          <w:szCs w:val="24"/>
        </w:rPr>
        <w:t>movements</w:t>
      </w:r>
      <w:proofErr w:type="spellEnd"/>
      <w:r w:rsidR="00010A9C" w:rsidRPr="001E1C95">
        <w:rPr>
          <w:rFonts w:ascii="Times New Roman" w:hAnsi="Times New Roman" w:cs="Times New Roman"/>
          <w:sz w:val="24"/>
          <w:szCs w:val="24"/>
        </w:rPr>
        <w:t xml:space="preserve">” w połączeniu z ruchem podajnika w zakresie </w:t>
      </w:r>
      <w:proofErr w:type="spellStart"/>
      <w:r w:rsidR="00010A9C" w:rsidRPr="001E1C95">
        <w:rPr>
          <w:rFonts w:ascii="Times New Roman" w:hAnsi="Times New Roman" w:cs="Times New Roman"/>
          <w:sz w:val="24"/>
          <w:szCs w:val="24"/>
        </w:rPr>
        <w:t>tzw</w:t>
      </w:r>
      <w:proofErr w:type="spellEnd"/>
      <w:r w:rsidR="00010A9C" w:rsidRPr="001E1C95">
        <w:rPr>
          <w:rFonts w:ascii="Times New Roman" w:hAnsi="Times New Roman" w:cs="Times New Roman"/>
          <w:sz w:val="24"/>
          <w:szCs w:val="24"/>
        </w:rPr>
        <w:t xml:space="preserve"> ruchu „</w:t>
      </w:r>
      <w:proofErr w:type="spellStart"/>
      <w:r w:rsidR="00010A9C" w:rsidRPr="001E1C95">
        <w:rPr>
          <w:rFonts w:ascii="Times New Roman" w:hAnsi="Times New Roman" w:cs="Times New Roman"/>
          <w:sz w:val="24"/>
          <w:szCs w:val="24"/>
        </w:rPr>
        <w:t>flyby</w:t>
      </w:r>
      <w:proofErr w:type="spellEnd"/>
      <w:r w:rsidR="00010A9C" w:rsidRPr="001E1C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A9C" w:rsidRPr="001E1C95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="00010A9C" w:rsidRPr="001E1C95">
        <w:rPr>
          <w:rFonts w:ascii="Times New Roman" w:hAnsi="Times New Roman" w:cs="Times New Roman"/>
          <w:sz w:val="24"/>
          <w:szCs w:val="24"/>
        </w:rPr>
        <w:t>”’</w:t>
      </w:r>
    </w:p>
    <w:p w14:paraId="3EC71FA5" w14:textId="231288EC" w:rsidR="00334153" w:rsidRPr="001E1C95" w:rsidRDefault="00010A9C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kalibracja przemieszczania się systemu podawania próbek w zakresie osi x, z uwzględnieniem pracy zaworu zamykającego dostęp do komory grzewczej – kalibracja podajnika gwarantującego wprowadzenie podajnika próbek do komory grzewczej i komory pokryć w pozycji „0” i przy automatycznym zamknięciu zaworu bezpieczeństwa;</w:t>
      </w:r>
    </w:p>
    <w:p w14:paraId="06DAC9C9" w14:textId="710A7622" w:rsidR="00334153" w:rsidRPr="001E1C95" w:rsidRDefault="00010A9C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kalibracja podajnika próbek z ruchem łopatek w zakresie osi x, y i z</w:t>
      </w:r>
      <w:r w:rsidR="00292ED5" w:rsidRPr="001E1C95">
        <w:rPr>
          <w:rFonts w:ascii="Times New Roman" w:hAnsi="Times New Roman" w:cs="Times New Roman"/>
          <w:sz w:val="24"/>
          <w:szCs w:val="24"/>
        </w:rPr>
        <w:t>;</w:t>
      </w:r>
      <w:r w:rsidRPr="001E1C95">
        <w:rPr>
          <w:rFonts w:ascii="Times New Roman" w:hAnsi="Times New Roman" w:cs="Times New Roman"/>
          <w:sz w:val="24"/>
          <w:szCs w:val="24"/>
        </w:rPr>
        <w:t xml:space="preserve"> z oprogramowaniem sterującym automatyką oraz z systemem </w:t>
      </w:r>
      <w:r w:rsidR="007104D5" w:rsidRPr="001E1C95">
        <w:rPr>
          <w:rFonts w:ascii="Times New Roman" w:hAnsi="Times New Roman" w:cs="Times New Roman"/>
          <w:sz w:val="24"/>
          <w:szCs w:val="24"/>
        </w:rPr>
        <w:t>sterowania oprzyrządowaniem grzewczym i c</w:t>
      </w:r>
      <w:r w:rsidR="00292ED5" w:rsidRPr="001E1C95">
        <w:rPr>
          <w:rFonts w:ascii="Times New Roman" w:hAnsi="Times New Roman" w:cs="Times New Roman"/>
          <w:sz w:val="24"/>
          <w:szCs w:val="24"/>
        </w:rPr>
        <w:t>h</w:t>
      </w:r>
      <w:r w:rsidR="007104D5" w:rsidRPr="001E1C95">
        <w:rPr>
          <w:rFonts w:ascii="Times New Roman" w:hAnsi="Times New Roman" w:cs="Times New Roman"/>
          <w:sz w:val="24"/>
          <w:szCs w:val="24"/>
        </w:rPr>
        <w:t>łodzącym.</w:t>
      </w:r>
    </w:p>
    <w:p w14:paraId="4B359DC3" w14:textId="77777777" w:rsidR="00334153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Sprawdzenie</w:t>
      </w:r>
      <w:r w:rsidR="007104D5" w:rsidRPr="001E1C95">
        <w:rPr>
          <w:rFonts w:ascii="Times New Roman" w:hAnsi="Times New Roman" w:cs="Times New Roman"/>
          <w:sz w:val="24"/>
          <w:szCs w:val="24"/>
        </w:rPr>
        <w:t xml:space="preserve">, </w:t>
      </w:r>
      <w:r w:rsidRPr="001E1C95">
        <w:rPr>
          <w:rFonts w:ascii="Times New Roman" w:hAnsi="Times New Roman" w:cs="Times New Roman"/>
          <w:sz w:val="24"/>
          <w:szCs w:val="24"/>
        </w:rPr>
        <w:t>kalibracja lub wymiana termoelementów na podajniku próbek</w:t>
      </w:r>
      <w:r w:rsidR="007104D5" w:rsidRPr="001E1C95">
        <w:rPr>
          <w:rFonts w:ascii="Times New Roman" w:hAnsi="Times New Roman" w:cs="Times New Roman"/>
          <w:sz w:val="24"/>
          <w:szCs w:val="24"/>
        </w:rPr>
        <w:t>:</w:t>
      </w:r>
    </w:p>
    <w:p w14:paraId="42E46B74" w14:textId="548A323D" w:rsidR="00334153" w:rsidRPr="001E1C95" w:rsidRDefault="007104D5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sprawdzenie pracy termoelementów w warunkach pracy urządzenia, tj. w trybie serwisowym w komorze grzewczej, przy uruchomionym programie grzania: </w:t>
      </w:r>
      <w:r w:rsidR="00292ED5" w:rsidRPr="001E1C95">
        <w:rPr>
          <w:rFonts w:ascii="Times New Roman" w:hAnsi="Times New Roman" w:cs="Times New Roman"/>
          <w:sz w:val="24"/>
          <w:szCs w:val="24"/>
        </w:rPr>
        <w:t>opis programu z w języku angielskim: „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ramping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with 10</w:t>
      </w:r>
      <w:r w:rsidR="00292ED5" w:rsidRPr="001E1C95">
        <w:rPr>
          <w:sz w:val="24"/>
          <w:szCs w:val="24"/>
        </w:rPr>
        <w:sym w:font="Symbol" w:char="F0B0"/>
      </w:r>
      <w:r w:rsidRPr="001E1C95">
        <w:rPr>
          <w:rFonts w:ascii="Times New Roman" w:hAnsi="Times New Roman" w:cs="Times New Roman"/>
          <w:sz w:val="24"/>
          <w:szCs w:val="24"/>
        </w:rPr>
        <w:t>C</w:t>
      </w:r>
      <w:r w:rsidR="00292ED5" w:rsidRPr="001E1C95">
        <w:rPr>
          <w:rFonts w:ascii="Times New Roman" w:hAnsi="Times New Roman" w:cs="Times New Roman"/>
          <w:sz w:val="24"/>
          <w:szCs w:val="24"/>
        </w:rPr>
        <w:t>/min</w:t>
      </w:r>
      <w:r w:rsidRPr="001E1C95">
        <w:rPr>
          <w:rFonts w:ascii="Times New Roman" w:hAnsi="Times New Roman" w:cs="Times New Roman"/>
          <w:sz w:val="24"/>
          <w:szCs w:val="24"/>
        </w:rPr>
        <w:t xml:space="preserve"> to 650</w:t>
      </w:r>
      <w:r w:rsidR="00292ED5" w:rsidRPr="001E1C95">
        <w:rPr>
          <w:sz w:val="24"/>
          <w:szCs w:val="24"/>
        </w:rPr>
        <w:sym w:font="Symbol" w:char="F0B0"/>
      </w:r>
      <w:r w:rsidRPr="001E1C95">
        <w:rPr>
          <w:rFonts w:ascii="Times New Roman" w:hAnsi="Times New Roman" w:cs="Times New Roman"/>
          <w:sz w:val="24"/>
          <w:szCs w:val="24"/>
        </w:rPr>
        <w:t xml:space="preserve">C –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dwelling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lastRenderedPageBreak/>
        <w:t>mins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and heating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to 1100</w:t>
      </w:r>
      <w:r w:rsidR="00292ED5" w:rsidRPr="001E1C95">
        <w:rPr>
          <w:sz w:val="24"/>
          <w:szCs w:val="24"/>
        </w:rPr>
        <w:sym w:font="Symbol" w:char="F0B0"/>
      </w:r>
      <w:r w:rsidRPr="001E1C95">
        <w:rPr>
          <w:rFonts w:ascii="Times New Roman" w:hAnsi="Times New Roman" w:cs="Times New Roman"/>
          <w:sz w:val="24"/>
          <w:szCs w:val="24"/>
        </w:rPr>
        <w:t xml:space="preserve">C/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dwelling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1E1C95">
        <w:rPr>
          <w:rFonts w:ascii="Times New Roman" w:hAnsi="Times New Roman" w:cs="Times New Roman"/>
          <w:sz w:val="24"/>
          <w:szCs w:val="24"/>
        </w:rPr>
        <w:t>mins</w:t>
      </w:r>
      <w:proofErr w:type="spellEnd"/>
      <w:r w:rsidRPr="001E1C95">
        <w:rPr>
          <w:rFonts w:ascii="Times New Roman" w:hAnsi="Times New Roman" w:cs="Times New Roman"/>
          <w:sz w:val="24"/>
          <w:szCs w:val="24"/>
        </w:rPr>
        <w:t xml:space="preserve">” – wymagany zakres pracy termoelementów w </w:t>
      </w:r>
      <w:r w:rsidR="00F269EE" w:rsidRPr="001E1C95">
        <w:rPr>
          <w:rFonts w:ascii="Times New Roman" w:hAnsi="Times New Roman" w:cs="Times New Roman"/>
          <w:sz w:val="24"/>
          <w:szCs w:val="24"/>
        </w:rPr>
        <w:t>badanym zakresie temperatury +/1</w:t>
      </w:r>
      <w:r w:rsidR="00292ED5" w:rsidRPr="001E1C95">
        <w:rPr>
          <w:sz w:val="24"/>
          <w:szCs w:val="24"/>
        </w:rPr>
        <w:sym w:font="Symbol" w:char="F0B0"/>
      </w:r>
      <w:r w:rsidR="00F269EE" w:rsidRPr="001E1C95">
        <w:rPr>
          <w:rFonts w:ascii="Times New Roman" w:hAnsi="Times New Roman" w:cs="Times New Roman"/>
          <w:sz w:val="24"/>
          <w:szCs w:val="24"/>
        </w:rPr>
        <w:t>C.</w:t>
      </w:r>
    </w:p>
    <w:p w14:paraId="1D26126D" w14:textId="782277F1" w:rsidR="00334153" w:rsidRPr="001E1C95" w:rsidRDefault="00F269EE" w:rsidP="00334153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wymagane sprawdzenie pracy termoelementów w warunkach prowadzonej próby odparowania materiału ceramicznego (7YSZ – wlewki do próby musi dostarczyć firma realizująca usługę serwisową</w:t>
      </w:r>
      <w:r w:rsidR="00292ED5" w:rsidRPr="001E1C95">
        <w:rPr>
          <w:rFonts w:ascii="Times New Roman" w:hAnsi="Times New Roman" w:cs="Times New Roman"/>
          <w:sz w:val="24"/>
          <w:szCs w:val="24"/>
        </w:rPr>
        <w:t xml:space="preserve"> – minimum 5 sztuk</w:t>
      </w:r>
      <w:r w:rsidRPr="001E1C95">
        <w:rPr>
          <w:rFonts w:ascii="Times New Roman" w:hAnsi="Times New Roman" w:cs="Times New Roman"/>
          <w:sz w:val="24"/>
          <w:szCs w:val="24"/>
        </w:rPr>
        <w:t xml:space="preserve">) – wymagane potwierdzenie działania termopar w zakresie </w:t>
      </w:r>
      <w:r w:rsidR="00292ED5" w:rsidRPr="001E1C95">
        <w:rPr>
          <w:rFonts w:ascii="Times New Roman" w:hAnsi="Times New Roman" w:cs="Times New Roman"/>
          <w:sz w:val="24"/>
          <w:szCs w:val="24"/>
        </w:rPr>
        <w:t xml:space="preserve">1050 - </w:t>
      </w:r>
      <w:r w:rsidRPr="001E1C95">
        <w:rPr>
          <w:rFonts w:ascii="Times New Roman" w:hAnsi="Times New Roman" w:cs="Times New Roman"/>
          <w:sz w:val="24"/>
          <w:szCs w:val="24"/>
        </w:rPr>
        <w:t>1100</w:t>
      </w:r>
      <w:r w:rsidR="00292ED5" w:rsidRPr="001E1C95">
        <w:rPr>
          <w:sz w:val="24"/>
          <w:szCs w:val="24"/>
        </w:rPr>
        <w:sym w:font="Symbol" w:char="F0B0"/>
      </w:r>
      <w:r w:rsidRPr="001E1C95">
        <w:rPr>
          <w:rFonts w:ascii="Times New Roman" w:hAnsi="Times New Roman" w:cs="Times New Roman"/>
          <w:sz w:val="24"/>
          <w:szCs w:val="24"/>
        </w:rPr>
        <w:t>C, w czasie realizowanego procesu pokryć 20 min z rejestracją danych temperaturowych w czasie rzeczywistym – wymagane dołączenie raportu serwisowego</w:t>
      </w:r>
      <w:r w:rsidR="00292ED5" w:rsidRPr="001E1C95">
        <w:rPr>
          <w:rFonts w:ascii="Times New Roman" w:hAnsi="Times New Roman" w:cs="Times New Roman"/>
          <w:sz w:val="24"/>
          <w:szCs w:val="24"/>
        </w:rPr>
        <w:t xml:space="preserve"> zgodnie</w:t>
      </w:r>
      <w:r w:rsidRPr="001E1C95">
        <w:rPr>
          <w:rFonts w:ascii="Times New Roman" w:hAnsi="Times New Roman" w:cs="Times New Roman"/>
          <w:sz w:val="24"/>
          <w:szCs w:val="24"/>
        </w:rPr>
        <w:t xml:space="preserve"> z </w:t>
      </w:r>
      <w:r w:rsidR="00292ED5" w:rsidRPr="001E1C95">
        <w:rPr>
          <w:rFonts w:ascii="Times New Roman" w:hAnsi="Times New Roman" w:cs="Times New Roman"/>
          <w:sz w:val="24"/>
          <w:szCs w:val="24"/>
        </w:rPr>
        <w:t>załączonym (do dokumentacji zamówienia)</w:t>
      </w:r>
      <w:r w:rsidRPr="001E1C95">
        <w:rPr>
          <w:rFonts w:ascii="Times New Roman" w:hAnsi="Times New Roman" w:cs="Times New Roman"/>
          <w:sz w:val="24"/>
          <w:szCs w:val="24"/>
        </w:rPr>
        <w:t xml:space="preserve"> plikiem</w:t>
      </w:r>
      <w:r w:rsidR="00292ED5" w:rsidRPr="001E1C95">
        <w:rPr>
          <w:rFonts w:ascii="Times New Roman" w:hAnsi="Times New Roman" w:cs="Times New Roman"/>
          <w:sz w:val="24"/>
          <w:szCs w:val="24"/>
        </w:rPr>
        <w:t xml:space="preserve"> xls</w:t>
      </w:r>
      <w:r w:rsidRPr="001E1C95">
        <w:rPr>
          <w:rFonts w:ascii="Times New Roman" w:hAnsi="Times New Roman" w:cs="Times New Roman"/>
          <w:sz w:val="24"/>
          <w:szCs w:val="24"/>
        </w:rPr>
        <w:t xml:space="preserve">, w którym </w:t>
      </w:r>
      <w:r w:rsidR="00292ED5" w:rsidRPr="001E1C95">
        <w:rPr>
          <w:rFonts w:ascii="Times New Roman" w:hAnsi="Times New Roman" w:cs="Times New Roman"/>
          <w:sz w:val="24"/>
          <w:szCs w:val="24"/>
        </w:rPr>
        <w:t>realizujący pomiary powinien przedstawić zarejestrowane</w:t>
      </w:r>
      <w:r w:rsidRPr="001E1C95">
        <w:rPr>
          <w:rFonts w:ascii="Times New Roman" w:hAnsi="Times New Roman" w:cs="Times New Roman"/>
          <w:sz w:val="24"/>
          <w:szCs w:val="24"/>
        </w:rPr>
        <w:t xml:space="preserve"> wartości temperatury w czasie </w:t>
      </w:r>
      <w:r w:rsidR="00292ED5" w:rsidRPr="001E1C95">
        <w:rPr>
          <w:rFonts w:ascii="Times New Roman" w:hAnsi="Times New Roman" w:cs="Times New Roman"/>
          <w:sz w:val="24"/>
          <w:szCs w:val="24"/>
        </w:rPr>
        <w:t>prowadzonej</w:t>
      </w:r>
      <w:r w:rsidRPr="001E1C95">
        <w:rPr>
          <w:rFonts w:ascii="Times New Roman" w:hAnsi="Times New Roman" w:cs="Times New Roman"/>
          <w:sz w:val="24"/>
          <w:szCs w:val="24"/>
        </w:rPr>
        <w:t xml:space="preserve"> próby z użyciem min. 6 termoelementów w pozycji: lewy podajnik, w obszarze silnika oraz w obszarze łopatki, prawy podajnik, w obszarze silnika oraz w obszarze łopatki, środkowy podajnik, w obszarze silnika oraz w obszarze łopatki,</w:t>
      </w:r>
    </w:p>
    <w:p w14:paraId="095E6EF9" w14:textId="77777777" w:rsidR="003556B9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Sprawdzenie pracy stroboskopu głównego oraz bocznego,</w:t>
      </w:r>
    </w:p>
    <w:p w14:paraId="594DA805" w14:textId="0BEF608C" w:rsidR="003556B9" w:rsidRPr="001E1C95" w:rsidRDefault="00292ED5" w:rsidP="003556B9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wykonanie pomiarów radiacyjnych: </w:t>
      </w:r>
    </w:p>
    <w:p w14:paraId="3C04DE76" w14:textId="77777777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obszarze stroboskopu głównego, w strefie izolacji części wziernej od części komory roboczej;</w:t>
      </w:r>
    </w:p>
    <w:p w14:paraId="0E3E3079" w14:textId="77777777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obszarze stroboskopu bocznego w strefie kryzy i elementów izolacyjnych części roboczych systemu;</w:t>
      </w:r>
    </w:p>
    <w:p w14:paraId="46CFA30D" w14:textId="77777777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strefie izolacji komory roboczej od komory pokryć;</w:t>
      </w:r>
    </w:p>
    <w:p w14:paraId="309376A1" w14:textId="77777777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strefie izolacji komory obróbki cieplnej od komory pokryć,</w:t>
      </w:r>
    </w:p>
    <w:p w14:paraId="6C54EDC9" w14:textId="77777777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strefie kryzy łączącej układ/system odchylenia wiązki elektronów od komory pokryć,</w:t>
      </w:r>
    </w:p>
    <w:p w14:paraId="080878B1" w14:textId="77777777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strefie pracy każdej z 9 pomp próżniowych;</w:t>
      </w:r>
    </w:p>
    <w:p w14:paraId="5CDF09E8" w14:textId="622FD030" w:rsidR="003556B9" w:rsidRPr="001E1C95" w:rsidRDefault="00292ED5" w:rsidP="003556B9">
      <w:pPr>
        <w:pStyle w:val="Akapitzlist"/>
        <w:numPr>
          <w:ilvl w:val="5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 strefie łączącej układ chłodzenia z układem roboczym komory działania układu generowania wiązki elektronów, z układem pomp próżniowych, z układem komory grzewczej, z układem komory pokryć oraz z układem teleskopowym podawania próbek</w:t>
      </w:r>
    </w:p>
    <w:p w14:paraId="5EDA2603" w14:textId="77777777" w:rsidR="003556B9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g. Przegląd połączeń elektrycznych przy grafitowych elementach grzejnych oraz stanu samych elementów</w:t>
      </w:r>
      <w:r w:rsidR="00292ED5" w:rsidRPr="001E1C95">
        <w:rPr>
          <w:rFonts w:ascii="Times New Roman" w:hAnsi="Times New Roman" w:cs="Times New Roman"/>
          <w:sz w:val="24"/>
          <w:szCs w:val="24"/>
        </w:rPr>
        <w:t xml:space="preserve"> </w:t>
      </w:r>
      <w:r w:rsidRPr="001E1C95">
        <w:rPr>
          <w:rFonts w:ascii="Times New Roman" w:hAnsi="Times New Roman" w:cs="Times New Roman"/>
          <w:sz w:val="24"/>
          <w:szCs w:val="24"/>
        </w:rPr>
        <w:t>grzejnych w komorze grzania wstępnego,</w:t>
      </w:r>
    </w:p>
    <w:p w14:paraId="17A219B2" w14:textId="52003F66" w:rsidR="003556B9" w:rsidRPr="001E1C95" w:rsidRDefault="003C7A4A" w:rsidP="003556B9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wymiana elementów grzewczych w postaci prętów stabilizujących płyty grzewcze w bocznych elementach komory,</w:t>
      </w:r>
    </w:p>
    <w:p w14:paraId="69D2D6A2" w14:textId="6D64448C" w:rsidR="003556B9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Przegląd osłon termoizolacyjnych w komorze grzania wstępnego</w:t>
      </w:r>
    </w:p>
    <w:p w14:paraId="024E4174" w14:textId="77777777" w:rsidR="009D5A85" w:rsidRPr="001E1C95" w:rsidRDefault="007B38A7" w:rsidP="009D5A85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Przegląd </w:t>
      </w:r>
      <w:r w:rsidR="003C7A4A" w:rsidRPr="001E1C95">
        <w:rPr>
          <w:rFonts w:ascii="Times New Roman" w:hAnsi="Times New Roman" w:cs="Times New Roman"/>
          <w:sz w:val="24"/>
          <w:szCs w:val="24"/>
        </w:rPr>
        <w:t xml:space="preserve">i ocena stanu kanałów na śluzie komory roboczej w odniesieniu do wpływu jakości bruzd prowadzących uszczelnienia na poziom próżni roboczej w komorze pokryć w warunkach wyjściowych, tj. bez próżni, oraz w warunkach pracy urządzenia, tj. przy wstępnym grzaniu elementów przeznaczonych do pokrycia – poziom próżni 10-3 </w:t>
      </w:r>
      <w:proofErr w:type="spellStart"/>
      <w:r w:rsidR="003C7A4A" w:rsidRPr="001E1C95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="003C7A4A" w:rsidRPr="001E1C95">
        <w:rPr>
          <w:rFonts w:ascii="Times New Roman" w:hAnsi="Times New Roman" w:cs="Times New Roman"/>
          <w:sz w:val="24"/>
          <w:szCs w:val="24"/>
        </w:rPr>
        <w:t xml:space="preserve"> oraz temperatura ok 950</w:t>
      </w:r>
      <w:r w:rsidR="003C7A4A" w:rsidRPr="001E1C95">
        <w:rPr>
          <w:sz w:val="24"/>
          <w:szCs w:val="24"/>
        </w:rPr>
        <w:sym w:font="Symbol" w:char="F0B0"/>
      </w:r>
      <w:r w:rsidR="003C7A4A" w:rsidRPr="001E1C95">
        <w:rPr>
          <w:rFonts w:ascii="Times New Roman" w:hAnsi="Times New Roman" w:cs="Times New Roman"/>
          <w:sz w:val="24"/>
          <w:szCs w:val="24"/>
        </w:rPr>
        <w:t xml:space="preserve">C oraz w warunkach odparowania ceramiki i realizacji procesu </w:t>
      </w:r>
      <w:r w:rsidR="003C7A4A" w:rsidRPr="001E1C95">
        <w:rPr>
          <w:rFonts w:ascii="Times New Roman" w:hAnsi="Times New Roman" w:cs="Times New Roman"/>
          <w:sz w:val="24"/>
          <w:szCs w:val="24"/>
        </w:rPr>
        <w:lastRenderedPageBreak/>
        <w:t xml:space="preserve">osadzania warstw ceramicznych na podłożu z elementów metalicznych - poziom próżni 10-3 </w:t>
      </w:r>
      <w:proofErr w:type="spellStart"/>
      <w:r w:rsidR="003C7A4A" w:rsidRPr="001E1C95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="003C7A4A" w:rsidRPr="001E1C95">
        <w:rPr>
          <w:rFonts w:ascii="Times New Roman" w:hAnsi="Times New Roman" w:cs="Times New Roman"/>
          <w:sz w:val="24"/>
          <w:szCs w:val="24"/>
        </w:rPr>
        <w:t xml:space="preserve"> oraz temperatura ok 1050</w:t>
      </w:r>
      <w:r w:rsidR="003C7A4A" w:rsidRPr="001E1C95">
        <w:rPr>
          <w:sz w:val="24"/>
          <w:szCs w:val="24"/>
        </w:rPr>
        <w:sym w:font="Symbol" w:char="F0B0"/>
      </w:r>
      <w:r w:rsidR="003C7A4A" w:rsidRPr="001E1C95">
        <w:rPr>
          <w:rFonts w:ascii="Times New Roman" w:hAnsi="Times New Roman" w:cs="Times New Roman"/>
          <w:sz w:val="24"/>
          <w:szCs w:val="24"/>
        </w:rPr>
        <w:t xml:space="preserve">C, </w:t>
      </w:r>
    </w:p>
    <w:p w14:paraId="69286B08" w14:textId="66149D01" w:rsidR="003556B9" w:rsidRPr="001E1C95" w:rsidRDefault="003C7A4A" w:rsidP="009D5A85">
      <w:pPr>
        <w:pStyle w:val="Akapitzlist"/>
        <w:numPr>
          <w:ilvl w:val="4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 xml:space="preserve">wymiana  </w:t>
      </w:r>
      <w:r w:rsidR="007B38A7" w:rsidRPr="001E1C95">
        <w:rPr>
          <w:rFonts w:ascii="Times New Roman" w:hAnsi="Times New Roman" w:cs="Times New Roman"/>
          <w:sz w:val="24"/>
          <w:szCs w:val="24"/>
        </w:rPr>
        <w:t>podwójnych uszczelnień wargowych w komorze roboczej, grzania wstępnego oraz</w:t>
      </w:r>
      <w:r w:rsidR="003556B9" w:rsidRPr="001E1C95">
        <w:rPr>
          <w:rFonts w:ascii="Times New Roman" w:hAnsi="Times New Roman" w:cs="Times New Roman"/>
          <w:sz w:val="24"/>
          <w:szCs w:val="24"/>
        </w:rPr>
        <w:t xml:space="preserve"> </w:t>
      </w:r>
      <w:r w:rsidR="007B38A7" w:rsidRPr="001E1C95">
        <w:rPr>
          <w:rFonts w:ascii="Times New Roman" w:hAnsi="Times New Roman" w:cs="Times New Roman"/>
          <w:sz w:val="24"/>
          <w:szCs w:val="24"/>
        </w:rPr>
        <w:t>załadowczej,</w:t>
      </w:r>
    </w:p>
    <w:p w14:paraId="6D1D25E6" w14:textId="1B11B639" w:rsidR="007B38A7" w:rsidRPr="001E1C95" w:rsidRDefault="007B38A7" w:rsidP="00334153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Sprawdzenie zużycia oraz względnego położenia włókna wolframowego, katody blokowej oraz anody w generatorze wiązie elektronowej,</w:t>
      </w:r>
    </w:p>
    <w:p w14:paraId="1243E071" w14:textId="77777777" w:rsidR="007B38A7" w:rsidRPr="001E1C95" w:rsidRDefault="007B38A7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061A81" w14:textId="77777777" w:rsidR="003C7A4A" w:rsidRPr="001E1C95" w:rsidRDefault="003C7A4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1C95">
        <w:rPr>
          <w:rFonts w:ascii="Times New Roman" w:hAnsi="Times New Roman" w:cs="Times New Roman"/>
          <w:b/>
          <w:bCs/>
          <w:sz w:val="24"/>
          <w:szCs w:val="24"/>
        </w:rPr>
        <w:t>Usługa kalibracji głowic pomiarowych i regulatorów przepływu gazów.</w:t>
      </w:r>
    </w:p>
    <w:p w14:paraId="72339D54" w14:textId="77777777" w:rsidR="003C7A4A" w:rsidRPr="001E1C95" w:rsidRDefault="003C7A4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Kalibracja dotyczy następujących głowic:</w:t>
      </w:r>
    </w:p>
    <w:p w14:paraId="412790E2" w14:textId="77777777" w:rsidR="003C7A4A" w:rsidRPr="001E1C95" w:rsidRDefault="003C7A4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1C95">
        <w:rPr>
          <w:rFonts w:ascii="Times New Roman" w:hAnsi="Times New Roman" w:cs="Times New Roman"/>
          <w:sz w:val="24"/>
          <w:szCs w:val="24"/>
        </w:rPr>
        <w:t>- MKS Baratron DMA .1 M GA D J N H 6 33, 2 szt.,</w:t>
      </w:r>
    </w:p>
    <w:p w14:paraId="25EE0133" w14:textId="77777777" w:rsidR="003C7A4A" w:rsidRPr="001E1C95" w:rsidRDefault="003C7A4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E1C9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1E1C95">
        <w:rPr>
          <w:rFonts w:ascii="Times New Roman" w:hAnsi="Times New Roman" w:cs="Times New Roman"/>
          <w:sz w:val="24"/>
          <w:szCs w:val="24"/>
          <w:lang w:val="en-US"/>
        </w:rPr>
        <w:t>Bronkhorst</w:t>
      </w:r>
      <w:proofErr w:type="spellEnd"/>
      <w:r w:rsidRPr="001E1C95">
        <w:rPr>
          <w:rFonts w:ascii="Times New Roman" w:hAnsi="Times New Roman" w:cs="Times New Roman"/>
          <w:sz w:val="24"/>
          <w:szCs w:val="24"/>
          <w:lang w:val="en-US"/>
        </w:rPr>
        <w:t xml:space="preserve"> FS-201CV-100-DGD-00-V, 1 szt.,</w:t>
      </w:r>
    </w:p>
    <w:p w14:paraId="36B0C5DD" w14:textId="77777777" w:rsidR="005B758F" w:rsidRPr="001E1C95" w:rsidRDefault="003C7A4A" w:rsidP="00334153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E1C9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1E1C95">
        <w:rPr>
          <w:rFonts w:ascii="Times New Roman" w:hAnsi="Times New Roman" w:cs="Times New Roman"/>
          <w:sz w:val="24"/>
          <w:szCs w:val="24"/>
          <w:lang w:val="en-US"/>
        </w:rPr>
        <w:t>Bronkhorst</w:t>
      </w:r>
      <w:proofErr w:type="spellEnd"/>
      <w:r w:rsidRPr="001E1C95">
        <w:rPr>
          <w:rFonts w:ascii="Times New Roman" w:hAnsi="Times New Roman" w:cs="Times New Roman"/>
          <w:sz w:val="24"/>
          <w:szCs w:val="24"/>
          <w:lang w:val="en-US"/>
        </w:rPr>
        <w:t xml:space="preserve"> FS-201CV-2K0-DGD-00-V, 3 szt.</w:t>
      </w:r>
    </w:p>
    <w:sectPr w:rsidR="005B758F" w:rsidRPr="001E1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A2D92"/>
    <w:multiLevelType w:val="hybridMultilevel"/>
    <w:tmpl w:val="1896772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054A6"/>
    <w:multiLevelType w:val="multilevel"/>
    <w:tmpl w:val="E0141C2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5FA16882"/>
    <w:multiLevelType w:val="multilevel"/>
    <w:tmpl w:val="2F089AB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567"/>
        </w:tabs>
        <w:ind w:left="851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bullet"/>
      <w:lvlText w:val=""/>
      <w:lvlJc w:val="left"/>
      <w:pPr>
        <w:ind w:left="1133" w:hanging="283"/>
      </w:pPr>
      <w:rPr>
        <w:rFonts w:ascii="Symbol" w:hAnsi="Symbo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772D5329"/>
    <w:multiLevelType w:val="hybridMultilevel"/>
    <w:tmpl w:val="7D7ED0CA"/>
    <w:lvl w:ilvl="0" w:tplc="1EE486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8A7"/>
    <w:rsid w:val="00010A9C"/>
    <w:rsid w:val="001E1C95"/>
    <w:rsid w:val="00292ED5"/>
    <w:rsid w:val="00334153"/>
    <w:rsid w:val="003556B9"/>
    <w:rsid w:val="003C7A4A"/>
    <w:rsid w:val="005473D6"/>
    <w:rsid w:val="00581930"/>
    <w:rsid w:val="005B758F"/>
    <w:rsid w:val="007104D5"/>
    <w:rsid w:val="007B38A7"/>
    <w:rsid w:val="00916736"/>
    <w:rsid w:val="009D5A85"/>
    <w:rsid w:val="009F741C"/>
    <w:rsid w:val="00AB0114"/>
    <w:rsid w:val="00B37E01"/>
    <w:rsid w:val="00B479E6"/>
    <w:rsid w:val="00B663CF"/>
    <w:rsid w:val="00DF68E0"/>
    <w:rsid w:val="00ED6470"/>
    <w:rsid w:val="00F269EE"/>
    <w:rsid w:val="00FE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268F"/>
  <w15:chartTrackingRefBased/>
  <w15:docId w15:val="{EE5B6832-FE6C-4E72-AE82-B0493861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38A7"/>
    <w:pPr>
      <w:ind w:left="720"/>
      <w:contextualSpacing/>
    </w:pPr>
  </w:style>
  <w:style w:type="character" w:customStyle="1" w:styleId="wfattreadonlylabel">
    <w:name w:val="wfattreadonlylabel"/>
    <w:basedOn w:val="Domylnaczcionkaakapitu"/>
    <w:rsid w:val="00B47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1113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Nowotnik</dc:creator>
  <cp:keywords/>
  <dc:description/>
  <cp:lastModifiedBy>Michał Pękala</cp:lastModifiedBy>
  <cp:revision>5</cp:revision>
  <dcterms:created xsi:type="dcterms:W3CDTF">2022-11-09T08:09:00Z</dcterms:created>
  <dcterms:modified xsi:type="dcterms:W3CDTF">2022-11-09T08:27:00Z</dcterms:modified>
</cp:coreProperties>
</file>