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7DE" w:rsidRDefault="007068DC" w:rsidP="00004020">
      <w:pPr>
        <w:pStyle w:val="Header"/>
        <w:jc w:val="right"/>
        <w:rPr>
          <w:i/>
          <w:iCs/>
          <w:sz w:val="20"/>
          <w:szCs w:val="20"/>
        </w:rPr>
      </w:pPr>
      <w:r>
        <w:rPr>
          <w:i/>
          <w:iCs/>
          <w:sz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bCs/>
          <w:i/>
          <w:iCs/>
        </w:rPr>
        <w:t>Załącznik nr 2.1 do Z</w:t>
      </w:r>
      <w:r w:rsidR="00004020">
        <w:rPr>
          <w:b/>
          <w:bCs/>
          <w:i/>
          <w:iCs/>
        </w:rPr>
        <w:t>aproszenia</w:t>
      </w:r>
    </w:p>
    <w:p w:rsidR="00004020" w:rsidRDefault="00004020" w:rsidP="00004020">
      <w:pPr>
        <w:rPr>
          <w:rFonts w:eastAsia="Calibri" w:cs="Calibri"/>
          <w:bCs/>
          <w:i/>
          <w:color w:val="000000"/>
          <w:sz w:val="20"/>
          <w:szCs w:val="20"/>
        </w:rPr>
      </w:pPr>
      <w:r>
        <w:rPr>
          <w:rFonts w:eastAsia="Calibri" w:cs="Calibri"/>
          <w:bCs/>
          <w:i/>
          <w:color w:val="000000"/>
          <w:sz w:val="20"/>
          <w:szCs w:val="20"/>
        </w:rPr>
        <w:t>„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Dostawa </w:t>
      </w:r>
      <w:r>
        <w:rPr>
          <w:rFonts w:eastAsia="Calibri" w:cs="Calibri"/>
          <w:bCs/>
          <w:i/>
          <w:color w:val="000000"/>
          <w:sz w:val="20"/>
          <w:szCs w:val="20"/>
        </w:rPr>
        <w:t xml:space="preserve">macierzy wraz z dyskami 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w ramach podniesienia poziomu bezpieczeństwa  </w:t>
      </w:r>
    </w:p>
    <w:p w:rsidR="00004020" w:rsidRDefault="00004020" w:rsidP="00004020">
      <w:pPr>
        <w:pStyle w:val="Header"/>
        <w:rPr>
          <w:i/>
          <w:sz w:val="20"/>
          <w:szCs w:val="20"/>
        </w:rPr>
      </w:pPr>
      <w:r w:rsidRPr="00363588">
        <w:rPr>
          <w:rFonts w:eastAsia="Calibri" w:cs="Calibri"/>
          <w:bCs/>
          <w:i/>
          <w:color w:val="000000"/>
          <w:sz w:val="20"/>
          <w:szCs w:val="20"/>
        </w:rPr>
        <w:t>system</w:t>
      </w:r>
      <w:r>
        <w:rPr>
          <w:rFonts w:eastAsia="Calibri" w:cs="Calibri"/>
          <w:bCs/>
          <w:i/>
          <w:color w:val="000000"/>
          <w:sz w:val="20"/>
          <w:szCs w:val="20"/>
        </w:rPr>
        <w:t>u</w:t>
      </w:r>
      <w:r w:rsidRPr="00363588">
        <w:rPr>
          <w:rFonts w:eastAsia="Calibri" w:cs="Calibri"/>
          <w:bCs/>
          <w:i/>
          <w:color w:val="000000"/>
          <w:sz w:val="20"/>
          <w:szCs w:val="20"/>
        </w:rPr>
        <w:t xml:space="preserve"> teleinformatyczn</w:t>
      </w:r>
      <w:r>
        <w:rPr>
          <w:rFonts w:eastAsia="Calibri" w:cs="Calibri"/>
          <w:bCs/>
          <w:i/>
          <w:color w:val="000000"/>
          <w:sz w:val="20"/>
          <w:szCs w:val="20"/>
        </w:rPr>
        <w:t>ego</w:t>
      </w:r>
      <w:r w:rsidRPr="00363588">
        <w:rPr>
          <w:rFonts w:eastAsia="Calibri" w:cs="Calibri"/>
          <w:bCs/>
          <w:i/>
          <w:color w:val="000000"/>
          <w:sz w:val="20"/>
          <w:szCs w:val="20"/>
        </w:rPr>
        <w:t xml:space="preserve"> </w:t>
      </w:r>
      <w:r>
        <w:rPr>
          <w:rFonts w:eastAsia="Calibri" w:cs="Calibri"/>
          <w:bCs/>
          <w:i/>
          <w:color w:val="000000"/>
          <w:sz w:val="20"/>
          <w:szCs w:val="20"/>
        </w:rPr>
        <w:t xml:space="preserve"> </w:t>
      </w:r>
      <w:r w:rsidRPr="00363588">
        <w:rPr>
          <w:rFonts w:eastAsia="Calibri" w:cs="Calibri"/>
          <w:bCs/>
          <w:i/>
          <w:color w:val="000000"/>
          <w:sz w:val="20"/>
          <w:szCs w:val="20"/>
        </w:rPr>
        <w:t>wraz z</w:t>
      </w:r>
      <w:r>
        <w:rPr>
          <w:rFonts w:eastAsia="Calibri" w:cs="Calibri"/>
          <w:bCs/>
          <w:i/>
          <w:color w:val="000000"/>
          <w:sz w:val="20"/>
          <w:szCs w:val="20"/>
        </w:rPr>
        <w:t>e</w:t>
      </w:r>
      <w:r w:rsidRPr="00363588">
        <w:rPr>
          <w:rFonts w:eastAsia="Calibri" w:cs="Calibri"/>
          <w:bCs/>
          <w:i/>
          <w:color w:val="000000"/>
          <w:sz w:val="20"/>
          <w:szCs w:val="20"/>
        </w:rPr>
        <w:t xml:space="preserve"> wstępną konfiguracją</w:t>
      </w:r>
      <w:r>
        <w:rPr>
          <w:rFonts w:eastAsia="Calibri" w:cs="Calibri"/>
          <w:bCs/>
          <w:i/>
          <w:color w:val="000000"/>
          <w:sz w:val="20"/>
          <w:szCs w:val="20"/>
        </w:rPr>
        <w:t>”</w:t>
      </w:r>
      <w:r>
        <w:rPr>
          <w:i/>
          <w:sz w:val="20"/>
          <w:szCs w:val="20"/>
        </w:rPr>
        <w:t xml:space="preserve"> </w:t>
      </w:r>
    </w:p>
    <w:p w:rsidR="009047DE" w:rsidRDefault="007068DC" w:rsidP="00004020">
      <w:pPr>
        <w:pStyle w:val="Header"/>
        <w:rPr>
          <w:i/>
          <w:sz w:val="20"/>
          <w:szCs w:val="20"/>
        </w:rPr>
      </w:pPr>
      <w:r>
        <w:rPr>
          <w:i/>
          <w:sz w:val="20"/>
          <w:szCs w:val="20"/>
        </w:rPr>
        <w:t>nr postępowania: AZP/</w:t>
      </w:r>
      <w:r w:rsidR="00004020">
        <w:rPr>
          <w:i/>
          <w:sz w:val="20"/>
          <w:szCs w:val="20"/>
        </w:rPr>
        <w:t>12</w:t>
      </w:r>
      <w:r>
        <w:rPr>
          <w:i/>
          <w:sz w:val="20"/>
          <w:szCs w:val="20"/>
        </w:rPr>
        <w:t xml:space="preserve"> /</w:t>
      </w:r>
      <w:r w:rsidR="00004020">
        <w:rPr>
          <w:i/>
          <w:sz w:val="20"/>
          <w:szCs w:val="20"/>
        </w:rPr>
        <w:t>Z</w:t>
      </w:r>
      <w:r>
        <w:rPr>
          <w:i/>
          <w:sz w:val="20"/>
          <w:szCs w:val="20"/>
        </w:rPr>
        <w:t>/2022</w:t>
      </w:r>
    </w:p>
    <w:p w:rsidR="009047DE" w:rsidRDefault="009047DE">
      <w:pPr>
        <w:jc w:val="center"/>
        <w:rPr>
          <w:b/>
          <w:i/>
        </w:rPr>
      </w:pPr>
    </w:p>
    <w:p w:rsidR="009047DE" w:rsidRDefault="007068DC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WYKAZ PARAMETRÓW</w:t>
      </w:r>
    </w:p>
    <w:p w:rsidR="009047DE" w:rsidRDefault="007068DC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parametrów / cech techniczno-użytkowych</w:t>
      </w:r>
    </w:p>
    <w:p w:rsidR="00004020" w:rsidRDefault="00004020">
      <w:pPr>
        <w:ind w:left="-540"/>
        <w:jc w:val="center"/>
        <w:rPr>
          <w:b/>
          <w:bCs/>
          <w:color w:val="000000" w:themeColor="text1"/>
          <w:u w:val="single"/>
        </w:rPr>
      </w:pPr>
    </w:p>
    <w:p w:rsidR="009047DE" w:rsidRDefault="007068DC" w:rsidP="00004020">
      <w:pPr>
        <w:ind w:left="-540"/>
        <w:jc w:val="center"/>
        <w:rPr>
          <w:i/>
        </w:rPr>
      </w:pPr>
      <w:r>
        <w:rPr>
          <w:b/>
          <w:bCs/>
          <w:color w:val="000000" w:themeColor="text1"/>
          <w:u w:val="single"/>
        </w:rPr>
        <w:t>Macierz dyskowa z dyskami (1szt.) - wraz ze wstępną konfiguracją</w:t>
      </w:r>
      <w:r>
        <w:rPr>
          <w:b/>
          <w:sz w:val="28"/>
          <w:szCs w:val="28"/>
        </w:rPr>
        <w:t xml:space="preserve">  </w:t>
      </w:r>
      <w:r w:rsidRPr="003669A0">
        <w:rPr>
          <w:b/>
        </w:rPr>
        <w:t>/</w:t>
      </w:r>
      <w:r w:rsidRPr="003669A0">
        <w:rPr>
          <w:i/>
        </w:rPr>
        <w:t>lub równoważny</w:t>
      </w:r>
    </w:p>
    <w:p w:rsidR="009B7073" w:rsidRPr="003669A0" w:rsidRDefault="009B7073" w:rsidP="00004020">
      <w:pPr>
        <w:ind w:left="-540"/>
        <w:jc w:val="center"/>
      </w:pPr>
    </w:p>
    <w:p w:rsidR="009047DE" w:rsidRDefault="009047DE">
      <w:pPr>
        <w:jc w:val="center"/>
        <w:rPr>
          <w:i/>
          <w:sz w:val="22"/>
          <w:szCs w:val="22"/>
        </w:rPr>
      </w:pPr>
    </w:p>
    <w:tbl>
      <w:tblPr>
        <w:tblW w:w="15120" w:type="dxa"/>
        <w:tblInd w:w="108" w:type="dxa"/>
        <w:tblLayout w:type="fixed"/>
        <w:tblLook w:val="01E0"/>
      </w:tblPr>
      <w:tblGrid>
        <w:gridCol w:w="710"/>
        <w:gridCol w:w="6379"/>
        <w:gridCol w:w="3827"/>
        <w:gridCol w:w="4204"/>
      </w:tblGrid>
      <w:tr w:rsidR="009047DE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PARAMETR / WARUNEK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WYMAGANIA</w:t>
            </w:r>
          </w:p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GRANICZNE / OCENIANE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OFEROWANA WARTOŚĆ</w:t>
            </w:r>
          </w:p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(PODAĆ ZAKRESY LUB OPISAĆ)</w:t>
            </w:r>
          </w:p>
        </w:tc>
      </w:tr>
      <w:tr w:rsidR="009047DE">
        <w:trPr>
          <w:cantSplit/>
          <w:trHeight w:val="5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I.</w:t>
            </w:r>
          </w:p>
        </w:tc>
        <w:tc>
          <w:tcPr>
            <w:tcW w:w="1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lightGray"/>
              </w:rPr>
              <w:t>WYMAGANIA OGÓLNE</w:t>
            </w:r>
          </w:p>
        </w:tc>
      </w:tr>
      <w:tr w:rsidR="009047DE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Producent / Firma: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Kraj: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Urządzenie typ: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  <w:trHeight w:val="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 produkcji: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2022r.</w:t>
            </w:r>
          </w:p>
          <w:p w:rsidR="009047DE" w:rsidRDefault="007068DC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fabrycznie nowe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  <w:trHeight w:val="5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II.</w:t>
            </w:r>
          </w:p>
        </w:tc>
        <w:tc>
          <w:tcPr>
            <w:tcW w:w="1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PARAMETRY TECHNICZNE</w:t>
            </w:r>
          </w:p>
        </w:tc>
      </w:tr>
      <w:tr w:rsidR="009047DE">
        <w:trPr>
          <w:cantSplit/>
          <w:trHeight w:val="29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</w:p>
          <w:p w:rsidR="009047DE" w:rsidRDefault="009047DE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Obudowa | Obudowa o wysokości maksymalnie 2U dedykowana do zamontowania w szafie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rack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19" z zestawem szyn do mocowania w szafie i wysuwania do celów serwisowych. Co najmniej 12 zatok przystosowanych do instalacji dysków SSD i/lub HDD.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Kontrolery dyskowe | Zainstalowane minimum dwa redundantne kontrolery pamięci dyskowej, pracujące w trybie symetrycznym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Active-Active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. Pod określeniem tryb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Active-Active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Symetryczny Zamawiający rozumie, że zasób pamięci dyskowej jest równolegle dostępny na co najmniej 8 portach należących do co najmniej 2 różnych kontrolerów pamięci dyskowej. Każdy z kontrolerów musi mieć możliwość prezentacji wszystkich wolumenów utworzonych w ramach całej pamięci dyskowej.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Procesor | Każdy z kontrolerów musi być wyposażony w minimum jeden procesor.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Rozbudowa przestrzeni | Dostarczone rozwiązanie musi umożliwiać podłączenie posiadanych przez zamawiającego innych macierzy dyskowych i przedstawienie ich jako kolejnych pul dyskowych, które można uwzględniać w automatycznych politykach migrowania danych. Rozwiązanie musi umożliwiać realizację podłączenia niezależnie od typu infrastruktury sieciowej sieci SAN (FC lub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iSCSI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). Do realizacji powyższej funkcjonalności dostarczone rozwiązanie musi wykorzystywać swoje kontrolery, niedopuszczalne jest stosowanie rozwiązań zewnętrznych, tak zwanych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wirtualizatorów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. Licencja na powyższą funkcjonalność nie jest częścią bieżącego postępowania, jednak Zamawiający chce mieć taką możliwość w przyszłości..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Zasilacz | Dwa w pełni redundantne zasilane prądem o napięciu 230V / 50 Hz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Porty sieciowe | Każdy z dostarczanych kontrolerów pamięci dyskowej musi być wyposażony w co najmniej 4 interfejsy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iSCSI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10Gbps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BASE-T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(RJ45) wraz z wkładkami optycznymi SFP+ umożliwiającymi transmisję 10GbE.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Dyski | Co najmniej 9 wewnętrznych dysków HDD SAS, każdy o pojemności co najmniej 6 TB i prędkością obrotową nie mniejsza niż 7200 obrotów na minutę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Gwarancja Producenta | Co najmniej 12 miesięcy od daty dostawy.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Naprawy Dysków | Dyski po naprawie pozostają u zamawiającego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Dokumenty | Po dokonaniu dostawy wykonawca przedstawi Zamawiającemu oryginalne poświadczenia Producenta o oryginalnym pochodzeniu Sprzętu z Polskiego Kanału Sprzedażowego.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after="160" w:line="259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Parametry szczegółowe:</w:t>
            </w:r>
          </w:p>
        </w:tc>
      </w:tr>
      <w:tr w:rsidR="009047DE">
        <w:trPr>
          <w:cantSplit/>
          <w:trHeight w:val="12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1. Pełna wewnętrzna redundancja kontrolerów, portów wewnętrznych, zasilania, chłodzenia i ścieżek danych na poziomie minimum N+1.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2. Możliwość uaktualniania oprogramowania systemowego bez przerywania działania macierzy dyskowej z utrzymaniem wszystkich funkcjonalności.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3. Macierz dyskowa musi być wyposażona w system zapewniający bezpieczne, bez utraty danych, automatyczne wyłączenie w przypadku całkowitego zaniku zasilania,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4. Macierz dyskowa musi umożliwiać wymianę kontrolerów, zasilaczy i wentylatorów w trybie Hot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Swap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- w trakcie pracy pamięci dyskowej.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5. Macierz dyskowa musi umożliwiać stosowania dysków Hot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Spare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i wymianę dysków w trybie Hot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Swap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6. Macierz dyskowa musi posiadać zainstalowaną pamięć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 pojemności fizycznej co najmniej 128 GB. Nie dopuszcza się użycia pamięci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zbudowanej w formie dysków SSD lub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Flash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itp.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7. Macierz dyskowa powinna posiadać funkcjonalność partycjonowania pamięci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. Jeżeli funkcjonalność taka wymaga licencji to należy taką licencję dostarczyć.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8. W przypadku awarii zasilania niezsynchronizowane dane w pamięci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muszą być zabezpieczone metodą trwałego zapisu do pamięci nieulotnej lub pamięć powinna być podtrzymana bateryjnie przez minimum 72h.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9. Macierz dyskowa musi umożliwiać instalację następujących interfejsów sieciowych: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    • Co najmniej 16 interfejsów FC, każdy o przepustowości co najmniej 32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Gbps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    • Co najmniej 8 interfejsów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iSCSI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, każdy o przepustowości co najmniej 10Gbps.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10. Oferowane funkcjonalności i parametry muszą być możliwe do zweryfikowania na ogólnie dostępnej stronie internetowej producenta w celu sprawdzenia, że oferowany produkt spełnia ww. wymagania.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11. Dostarczone oprogramowanie i funkcjonalności muszą być udostępniane przez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firmware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bez modyfikacji przez Wykonawcę i jest to standardowe oprogramowanie producenta. Zamawiający nie dopuszcza takiej sytuacji, w której oprogramowanie pamięci dyskowej jest specjalnie przygotowane dla Zamawiającego.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12. Macierz dyskowa musi posiadać wbudowane, realizowane przez kontrolery, mechanizmy kompresji i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deduplikacji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danych.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13. Macierz dyskowa musi posiadać funkcjonalności zdalnej replikacji danych w trybie synchronicznym i asynchronicznym za pomocą sieci SAN oraz replikację typu Metro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Cluster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(równoległy dostęp do obu wolumenów w każdej parze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replikacyjnej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w trybie zapisu i odczytu). Oprogramowanie musi zapewniać funkcjonalność zawieszania replikacji i ponownej przyrostowej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resynchronizacji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kopii z oryginałem oraz zmiany ról oryginału i kopii (dla określonej pary dysków logicznych LUN macierzy) z poziomu interfejsu administratora. Licencja na powyższą funkcjonalność nie jest częścią bieżącego postępowania, jednak zamawiający chce mieć możliwość wykorzystania jej w przyszłości.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14. Macierz dyskowa musi oferować wsparcie dla architektury wieloośrodkowej DR, wykorzystującej do zarządzania oprogramowanie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SRM.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15. Macierz dyskowa musi umożliwiać dokonywania na żądanie tzw. migawkowej kopii danych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snapshot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, point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in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time) w ramach macierzy za pomocą wewnętrznych kontrolerów macierzowych. Kopia migawkowa wykonuje się bez konieczności wcześniejszego alokowania dodatkowej przestrzeni dyskowej na potrzeby kopii. Zajmowanie dodatkowej przestrzeni dyskowej następuje w momencie zmiany danych na dysku źródłowym lub na jego kopii. Oferowane urządzenie musi obsługiwać minimum 1024 per udział/dysk logiczny kopii migawkowych. Realizacja kopii migawkowych w trybie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Copy-on-Write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nie jest dopuszczona.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16. Macierz dyskowa musi umożliwiać migrację dysków logicznych pomiędzy grupami zabezpieczonymi różnymi typami RAID. Migracja odbywa się w trybie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on-line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bez przerywania pracy systemu/aplikacji korzystającej z danych migrowanego woluminu.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17. Macierz musi umożliwiać konfigurację gwarancji wydajności typ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QoS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dla wybranych wolumenów logicznych w zakresie: wydajności w IOPS, wydajność w MB/s.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18. Macierz dyskowa musi umożliwiać wirtualizację posiadanych przez Zamawiającego zasobów dyskowych Jako wirtualizacje definiuje się zabieg techniczny polegający na udostępnieniu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wirtualizowanych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zasobów dyskowych klientom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wirtualizatora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z możliwością wykorzystania dodatkowych funkcjonalności specyficznych dla tego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wirtualizatora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, a nie posiadanych przez urządzenie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wirtualizowane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. Mechanizm wirtualizacji musi być wbudowany w oprogramowanie wewnętrzne oferowanej pamięci dyskowej i nie może być realizowany z wykorzystaniem dodatkowych zewnętrznych urządzeń i oprogramowania.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19. Wirtualizacja zasobów wewnętrznych musi umożliwiać utworzenie przynajmniej 2 wirtualnych macierzy dla przynajmniej 2 hostów, z możliwością delegowania przestrzeni, portu, przepustowości i spodziewanej wydajności. Parametry tych wirtualnych macierzy określamy poprzez ustalenie QOS dla danej usługi Hosta.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20. Nie jest dopuszczalne rozwiązanie, w którym usługi protokołu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Fibre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Channel realizowane są w oparciu o emulację protokołu FC na wewnętrznym systemie plików pamięci dyskowej.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21. Jeśli jest to konieczne, wraz z pamięcią dyskową muszą zostać dostarczone licencje na funkcję kontrolerów umożliwiającą wykorzystywanie obu kontrolerów pamięci dyskowej w taki sposób, aby oprogramowanie zainstalowane w systemie operacyjnym klienta (serwera do wirtualizacji pamięci dyskowej) automatyczne przełączało ścieżki do zasobów, np. w przypadku uszkodzenia portu karty HBA, przełącznika SAN, kontrolera pamięci dyskowej czy przewodu światłowodowego.</w:t>
            </w:r>
          </w:p>
          <w:p w:rsidR="009047DE" w:rsidRDefault="009047DE">
            <w:pPr>
              <w:widowControl w:val="0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Dostarczane oprogramowanie zarządzające pamięcią dyskową oraz licencje umożliwiają:</w:t>
            </w:r>
          </w:p>
        </w:tc>
      </w:tr>
      <w:tr w:rsidR="009047DE">
        <w:trPr>
          <w:cantSplit/>
          <w:trHeight w:val="21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stałe monitorowanie stanu macierzy przez jej producenta z wykorzystaniem połączenia internetowego i protokołu HTTPS.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informowanie o wykorzystaniu zasobów dyskowych macierzy m.in. całkowitej pojemności przestrzeni dyskowej macierzy, wykorzystanej przestrzeni dyskowej, skonfigurowanej przestrzeni przydzielonej do serwerów i nie przydzielonej do serwerów oraz przestrzeni nie skonfigurowanej (wolnej);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monitorowanie zasobów wykorzystujących funkcjonalność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thin-provisioning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i ostrzeganie z wyprzedzeniem o możliwości wyczerpania zasobów;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monitorowanie stanu pracy par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replikacyjnych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, kopii migawkowych i klonów oraz funkcjonalności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klastra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active-active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;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bieżące monitorowanie wydajności macierzy mierzonej w operacjach IOPS (zapis i odczyt), strumieniu MB/s (zapis i odczyt) oraz czasów odpowiedzi RT (zapis i odczyt) m.in. dla poszczególnych wolumenów logicznych, puli dyskowych oraz portów;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przygotowywanie raportów historycznych z okresu co najmniej 12 miesięcy zawierających informacje o wydajności mierzonej w IOPS i MB/s dla poszczególnych wolumenów logicznych i puli dyskowych. 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wykrywanie błędów i izolowanie uszkodzeń, monitorowanie w czasie rzeczywistym.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zarządzanie macierzą z graficznego interfejsu użytkownika (GUI), linii komend (CLI) oraz programowego REST API.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monitoring i analizę wydajności systemu pamięci masowej (również macierzy firm trzecich), przełączników SAN oraz serwerów.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monitorowanie parametrów wydajnościowych w zakresie co najmniej IOPS, MB/s oraz czasów odpowiedzi RT i raportowanie przekroczenia zdefiniowanych progów.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korelację zmian parametrów wydajnościowych ze zmianami konfiguracji w środowisku.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generowanie alertów dla administratora przez e-mail, SNMP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• wykorzystanie zewnętrznych serwerów uwierzytelniania użytkowników: MS AD/LDAP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automatyzacje zadań administracyjnych utworzoną w formie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framework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– graficznie przedstawienie zadań wykonywanych automatycznie zdefiniowany do uruchomienia poprzez wykrycie monitu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trigera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).</w:t>
            </w:r>
          </w:p>
          <w:p w:rsidR="009047DE" w:rsidRDefault="007068DC">
            <w:pPr>
              <w:widowControl w:val="0"/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•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zarzadzanie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oraz  konfiguracja systemu kopii migawkowych wraz z repliką na inne ośrodki za pomocą GUI.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47DE" w:rsidRDefault="007068DC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  <w:tr w:rsidR="009047DE">
        <w:trPr>
          <w:cantSplit/>
          <w:trHeight w:val="5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III.</w:t>
            </w:r>
          </w:p>
        </w:tc>
        <w:tc>
          <w:tcPr>
            <w:tcW w:w="1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</w:t>
            </w:r>
            <w:r w:rsidR="008F3E27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ZACJI DOSTAWY</w:t>
            </w:r>
          </w:p>
        </w:tc>
      </w:tr>
      <w:tr w:rsidR="009047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rPr>
                <w:b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zrealizuje dostawę w terminie </w:t>
            </w:r>
            <w:r w:rsidRPr="008F3E27">
              <w:rPr>
                <w:b/>
                <w:color w:val="000000"/>
                <w:sz w:val="22"/>
                <w:szCs w:val="22"/>
              </w:rPr>
              <w:t>do dnia 16.12.2022r.</w:t>
            </w:r>
          </w:p>
          <w:p w:rsidR="008F3E27" w:rsidRDefault="008F3E27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TAK - </w:t>
            </w:r>
            <w:r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9047DE">
        <w:trPr>
          <w:cantSplit/>
          <w:trHeight w:val="5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IV.</w:t>
            </w:r>
          </w:p>
        </w:tc>
        <w:tc>
          <w:tcPr>
            <w:tcW w:w="14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047DE" w:rsidRDefault="007068DC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WARUNKI GWARANCJI JAKOŚCI I RĘKOJMI ZA WADY</w:t>
            </w:r>
          </w:p>
        </w:tc>
      </w:tr>
      <w:tr w:rsidR="009047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7068DC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Wykonawca udziela Zamawiającemu gwarancji jakości / rękojmi za wady na przedmiot umowy </w:t>
            </w:r>
            <w:r>
              <w:rPr>
                <w:b/>
                <w:bCs/>
                <w:color w:val="000000"/>
                <w:sz w:val="22"/>
                <w:szCs w:val="22"/>
              </w:rPr>
              <w:t>na okres min. 12 miesięcy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licząc od daty dostawy oraz podpisania przez Strony protokołu odbioru zdawczo-odbiorczego bez uwag, w zależności od tego, która czynność przypadnie później.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9047DE" w:rsidRDefault="007068D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 - </w:t>
            </w:r>
            <w:r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47DE" w:rsidRDefault="009047DE">
            <w:pPr>
              <w:widowControl w:val="0"/>
              <w:jc w:val="center"/>
              <w:rPr>
                <w:sz w:val="22"/>
                <w:szCs w:val="22"/>
              </w:rPr>
            </w:pPr>
          </w:p>
          <w:p w:rsidR="009047DE" w:rsidRDefault="009047DE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9047DE" w:rsidRDefault="009047DE">
      <w:pPr>
        <w:jc w:val="both"/>
      </w:pPr>
    </w:p>
    <w:p w:rsidR="009047DE" w:rsidRDefault="007068DC">
      <w:pPr>
        <w:jc w:val="both"/>
      </w:pPr>
      <w:r>
        <w:t>Parametry z powyższych tabel podane w kolumnie „parametr wymagany” określone jako „TAK” stanowią wymagania, których niespełnienie spowoduje odrzucenie oferty.</w:t>
      </w:r>
    </w:p>
    <w:p w:rsidR="009047DE" w:rsidRDefault="009047DE">
      <w:pPr>
        <w:jc w:val="both"/>
      </w:pPr>
    </w:p>
    <w:p w:rsidR="009047DE" w:rsidRDefault="007068DC">
      <w:pPr>
        <w:jc w:val="both"/>
      </w:pPr>
      <w:r>
        <w:t xml:space="preserve">Oświadczam(-y), iż oferowany </w:t>
      </w:r>
      <w:r>
        <w:rPr>
          <w:b/>
        </w:rPr>
        <w:t>sprzęt jest nowy, kompletny i po zamontowaniu gotowy do użytku</w:t>
      </w:r>
      <w:r>
        <w:t xml:space="preserve"> bez dodatkowych zakupów inwestycyjnych,                               z wyłączeniem materiałów eksploatacyjnych.</w:t>
      </w:r>
    </w:p>
    <w:p w:rsidR="009047DE" w:rsidRDefault="009047DE"/>
    <w:p w:rsidR="009047DE" w:rsidRDefault="009047DE">
      <w:pPr>
        <w:rPr>
          <w:sz w:val="22"/>
          <w:szCs w:val="22"/>
        </w:rPr>
      </w:pPr>
    </w:p>
    <w:p w:rsidR="009047DE" w:rsidRDefault="009047DE">
      <w:pPr>
        <w:rPr>
          <w:sz w:val="22"/>
          <w:szCs w:val="22"/>
        </w:rPr>
      </w:pPr>
    </w:p>
    <w:p w:rsidR="009047DE" w:rsidRDefault="009047DE">
      <w:pPr>
        <w:rPr>
          <w:sz w:val="22"/>
          <w:szCs w:val="22"/>
        </w:rPr>
      </w:pPr>
    </w:p>
    <w:p w:rsidR="009047DE" w:rsidRDefault="009047DE">
      <w:pPr>
        <w:rPr>
          <w:sz w:val="22"/>
          <w:szCs w:val="22"/>
        </w:rPr>
      </w:pPr>
    </w:p>
    <w:p w:rsidR="009047DE" w:rsidRDefault="009047DE">
      <w:pPr>
        <w:rPr>
          <w:sz w:val="22"/>
          <w:szCs w:val="22"/>
        </w:rPr>
      </w:pPr>
    </w:p>
    <w:p w:rsidR="009047DE" w:rsidRDefault="009047DE">
      <w:pPr>
        <w:rPr>
          <w:sz w:val="22"/>
          <w:szCs w:val="22"/>
        </w:rPr>
      </w:pPr>
    </w:p>
    <w:p w:rsidR="009047DE" w:rsidRDefault="007068DC">
      <w:pPr>
        <w:rPr>
          <w:i/>
          <w:sz w:val="22"/>
          <w:szCs w:val="22"/>
        </w:rPr>
      </w:pPr>
      <w:r>
        <w:rPr>
          <w:sz w:val="16"/>
          <w:szCs w:val="16"/>
        </w:rPr>
        <w:t xml:space="preserve">  </w:t>
      </w:r>
      <w:r>
        <w:rPr>
          <w:sz w:val="22"/>
          <w:szCs w:val="22"/>
        </w:rPr>
        <w:t>…………………. dnia………………………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…………………………………………. 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2"/>
          <w:szCs w:val="22"/>
        </w:rPr>
        <w:t xml:space="preserve">podpis osoby uprawnionej do składania </w:t>
      </w:r>
    </w:p>
    <w:p w:rsidR="009047DE" w:rsidRDefault="007068DC">
      <w:pPr>
        <w:ind w:left="9204" w:firstLine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oświadczeń w imieniu Wykonawcy</w:t>
      </w:r>
    </w:p>
    <w:p w:rsidR="009047DE" w:rsidRDefault="009047DE">
      <w:pPr>
        <w:rPr>
          <w:sz w:val="22"/>
          <w:szCs w:val="22"/>
        </w:rPr>
      </w:pPr>
    </w:p>
    <w:sectPr w:rsidR="009047DE" w:rsidSect="00004020">
      <w:headerReference w:type="default" r:id="rId7"/>
      <w:footerReference w:type="even" r:id="rId8"/>
      <w:footerReference w:type="default" r:id="rId9"/>
      <w:footerReference w:type="first" r:id="rId10"/>
      <w:pgSz w:w="16838" w:h="11906" w:orient="landscape"/>
      <w:pgMar w:top="1844" w:right="1418" w:bottom="766" w:left="900" w:header="426" w:footer="709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E27" w:rsidRDefault="008F3E27" w:rsidP="009047DE">
      <w:r>
        <w:separator/>
      </w:r>
    </w:p>
  </w:endnote>
  <w:endnote w:type="continuationSeparator" w:id="0">
    <w:p w:rsidR="008F3E27" w:rsidRDefault="008F3E27" w:rsidP="00904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27" w:rsidRDefault="00A70B1F">
    <w:pPr>
      <w:pStyle w:val="Footer"/>
      <w:ind w:right="360"/>
    </w:pPr>
    <w:r>
      <w:pict>
        <v:shape id="Ramka1" o:spid="_x0000_s1029" style="position:absolute;margin-left:-116.7pt;margin-top:.05pt;width:1.1pt;height:1.1pt;z-index:251656192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27" w:rsidRDefault="00A70B1F">
    <w:pPr>
      <w:pStyle w:val="Footer"/>
      <w:ind w:right="360"/>
    </w:pPr>
    <w:r>
      <w:pict>
        <v:shape id="Ramka2" o:spid="_x0000_s1027" style="position:absolute;margin-left:617.85pt;margin-top:.05pt;width:6pt;height:13.65pt;z-index:251658240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27" w:rsidRDefault="00A70B1F">
    <w:pPr>
      <w:pStyle w:val="Footer"/>
      <w:ind w:right="360"/>
    </w:pPr>
    <w:r>
      <w:pict>
        <v:shape id="_x0000_s1025" style="position:absolute;margin-left:617.85pt;margin-top:.05pt;width:6pt;height:13.65pt;z-index:251660288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E27" w:rsidRDefault="008F3E27" w:rsidP="009047DE">
      <w:r>
        <w:separator/>
      </w:r>
    </w:p>
  </w:footnote>
  <w:footnote w:type="continuationSeparator" w:id="0">
    <w:p w:rsidR="008F3E27" w:rsidRDefault="008F3E27" w:rsidP="009047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27" w:rsidRDefault="008F3E27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2066925</wp:posOffset>
          </wp:positionH>
          <wp:positionV relativeFrom="paragraph">
            <wp:posOffset>-337185</wp:posOffset>
          </wp:positionV>
          <wp:extent cx="5592445" cy="1095375"/>
          <wp:effectExtent l="19050" t="0" r="8255" b="0"/>
          <wp:wrapSquare wrapText="bothSides"/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F3E27" w:rsidRDefault="008F3E27">
    <w:pPr>
      <w:pStyle w:val="Header"/>
      <w:rPr>
        <w:rFonts w:ascii="Arial" w:hAnsi="Arial" w:cs="Arial"/>
        <w:b/>
        <w:sz w:val="18"/>
        <w:szCs w:val="18"/>
      </w:rPr>
    </w:pPr>
  </w:p>
  <w:p w:rsidR="008F3E27" w:rsidRDefault="008F3E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D0285"/>
    <w:multiLevelType w:val="multilevel"/>
    <w:tmpl w:val="248EBCFE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047DE"/>
    <w:rsid w:val="00004020"/>
    <w:rsid w:val="00240F46"/>
    <w:rsid w:val="003669A0"/>
    <w:rsid w:val="007068DC"/>
    <w:rsid w:val="008F3E27"/>
    <w:rsid w:val="009047DE"/>
    <w:rsid w:val="009B7073"/>
    <w:rsid w:val="00A70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47D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Heading2"/>
    <w:autoRedefine/>
    <w:qFormat/>
    <w:rsid w:val="007C691E"/>
    <w:pPr>
      <w:numPr>
        <w:numId w:val="1"/>
      </w:numPr>
      <w:spacing w:before="200" w:after="60"/>
      <w:jc w:val="both"/>
      <w:outlineLvl w:val="0"/>
    </w:pPr>
    <w:rPr>
      <w:b/>
      <w:bCs/>
      <w:caps/>
      <w:kern w:val="2"/>
    </w:rPr>
  </w:style>
  <w:style w:type="paragraph" w:customStyle="1" w:styleId="Heading2">
    <w:name w:val="Heading 2"/>
    <w:basedOn w:val="Normalny"/>
    <w:link w:val="Nagwek2Znak"/>
    <w:autoRedefine/>
    <w:qFormat/>
    <w:rsid w:val="00F31B6E"/>
    <w:pPr>
      <w:spacing w:before="120" w:after="60"/>
      <w:jc w:val="both"/>
      <w:outlineLvl w:val="1"/>
    </w:pPr>
    <w:rPr>
      <w:b/>
      <w:color w:val="000000"/>
      <w:sz w:val="22"/>
      <w:szCs w:val="22"/>
    </w:rPr>
  </w:style>
  <w:style w:type="paragraph" w:customStyle="1" w:styleId="Heading4">
    <w:name w:val="Heading 4"/>
    <w:basedOn w:val="Normalny"/>
    <w:autoRedefine/>
    <w:qFormat/>
    <w:rsid w:val="007C691E"/>
    <w:pPr>
      <w:keepNext/>
      <w:numPr>
        <w:ilvl w:val="3"/>
        <w:numId w:val="1"/>
      </w:numPr>
      <w:spacing w:before="60" w:after="60"/>
      <w:outlineLvl w:val="3"/>
    </w:pPr>
  </w:style>
  <w:style w:type="paragraph" w:customStyle="1" w:styleId="Heading5">
    <w:name w:val="Heading 5"/>
    <w:basedOn w:val="Normalny"/>
    <w:next w:val="Normalny"/>
    <w:qFormat/>
    <w:rsid w:val="007C691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6">
    <w:name w:val="Heading 6"/>
    <w:basedOn w:val="Normalny"/>
    <w:next w:val="Normalny"/>
    <w:qFormat/>
    <w:rsid w:val="007C691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 7"/>
    <w:basedOn w:val="Normalny"/>
    <w:next w:val="Normalny"/>
    <w:qFormat/>
    <w:rsid w:val="007C691E"/>
    <w:pPr>
      <w:numPr>
        <w:ilvl w:val="6"/>
        <w:numId w:val="1"/>
      </w:numPr>
      <w:spacing w:before="240" w:after="60"/>
      <w:outlineLvl w:val="6"/>
    </w:pPr>
  </w:style>
  <w:style w:type="paragraph" w:customStyle="1" w:styleId="Heading8">
    <w:name w:val="Heading 8"/>
    <w:basedOn w:val="Normalny"/>
    <w:next w:val="Normalny"/>
    <w:qFormat/>
    <w:rsid w:val="007C691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customStyle="1" w:styleId="Heading9">
    <w:name w:val="Heading 9"/>
    <w:basedOn w:val="Normalny"/>
    <w:next w:val="Normalny"/>
    <w:qFormat/>
    <w:rsid w:val="007C691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Numerstrony">
    <w:name w:val="page number"/>
    <w:basedOn w:val="Domylnaczcionkaakapitu"/>
    <w:qFormat/>
    <w:rsid w:val="001A0530"/>
  </w:style>
  <w:style w:type="character" w:customStyle="1" w:styleId="Nagwek2Znak">
    <w:name w:val="Nagłówek 2 Znak"/>
    <w:link w:val="Heading2"/>
    <w:qFormat/>
    <w:locked/>
    <w:rsid w:val="00F31B6E"/>
    <w:rPr>
      <w:b/>
      <w:color w:val="000000"/>
      <w:sz w:val="22"/>
      <w:szCs w:val="22"/>
      <w:lang w:val="pl-PL" w:eastAsia="pl-PL" w:bidi="ar-SA"/>
    </w:rPr>
  </w:style>
  <w:style w:type="character" w:customStyle="1" w:styleId="NagwekZnak">
    <w:name w:val="Nagłówek Znak"/>
    <w:link w:val="Header"/>
    <w:qFormat/>
    <w:rsid w:val="007F068C"/>
    <w:rPr>
      <w:sz w:val="24"/>
      <w:szCs w:val="24"/>
    </w:rPr>
  </w:style>
  <w:style w:type="paragraph" w:styleId="Nagwek">
    <w:name w:val="header"/>
    <w:basedOn w:val="Normalny"/>
    <w:next w:val="Tekstpodstawowy"/>
    <w:qFormat/>
    <w:rsid w:val="009047D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047DE"/>
    <w:pPr>
      <w:spacing w:after="140" w:line="276" w:lineRule="auto"/>
    </w:pPr>
  </w:style>
  <w:style w:type="paragraph" w:styleId="Lista">
    <w:name w:val="List"/>
    <w:basedOn w:val="Tekstpodstawowy"/>
    <w:rsid w:val="009047DE"/>
    <w:rPr>
      <w:rFonts w:cs="Arial"/>
    </w:rPr>
  </w:style>
  <w:style w:type="paragraph" w:customStyle="1" w:styleId="Caption">
    <w:name w:val="Caption"/>
    <w:basedOn w:val="Normalny"/>
    <w:qFormat/>
    <w:rsid w:val="009047DE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047DE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9047DE"/>
  </w:style>
  <w:style w:type="paragraph" w:customStyle="1" w:styleId="Header">
    <w:name w:val="Header"/>
    <w:basedOn w:val="Normalny"/>
    <w:link w:val="NagwekZnak"/>
    <w:rsid w:val="008353A0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rsid w:val="008353A0"/>
    <w:pPr>
      <w:tabs>
        <w:tab w:val="center" w:pos="4536"/>
        <w:tab w:val="right" w:pos="9072"/>
      </w:tabs>
    </w:pPr>
  </w:style>
  <w:style w:type="paragraph" w:customStyle="1" w:styleId="ZnakZnak1ZnakZnakZnakZnak">
    <w:name w:val="Znak Znak1 Znak Znak Znak Znak"/>
    <w:basedOn w:val="Normalny"/>
    <w:qFormat/>
    <w:rsid w:val="008353A0"/>
    <w:rPr>
      <w:rFonts w:ascii="Arial" w:hAnsi="Arial" w:cs="Arial"/>
    </w:rPr>
  </w:style>
  <w:style w:type="paragraph" w:customStyle="1" w:styleId="ZnakZnak">
    <w:name w:val="Znak Znak"/>
    <w:basedOn w:val="Normalny"/>
    <w:qFormat/>
    <w:rsid w:val="0079357C"/>
    <w:rPr>
      <w:rFonts w:ascii="Arial" w:hAnsi="Arial" w:cs="Arial"/>
    </w:rPr>
  </w:style>
  <w:style w:type="paragraph" w:customStyle="1" w:styleId="Zawartoramki">
    <w:name w:val="Zawartość ramki"/>
    <w:basedOn w:val="Normalny"/>
    <w:qFormat/>
    <w:rsid w:val="009047DE"/>
  </w:style>
  <w:style w:type="table" w:styleId="Tabela-Siatka">
    <w:name w:val="Table Grid"/>
    <w:basedOn w:val="Standardowy"/>
    <w:rsid w:val="008229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1657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Aparat do witrektomii tylnej oraz fakoemulsyfikacji oraz lasera fotokoagulacji</vt:lpstr>
    </vt:vector>
  </TitlesOfParts>
  <Company>WSP</Company>
  <LinksUpToDate>false</LinksUpToDate>
  <CharactersWithSpaces>11578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 do witrektomii tylnej oraz fakoemulsyfikacji oraz lasera fotokoagulacji</dc:title>
  <dc:creator>WSP</dc:creator>
  <cp:lastModifiedBy>rulbrich</cp:lastModifiedBy>
  <cp:revision>4</cp:revision>
  <cp:lastPrinted>2022-06-23T18:20:00Z</cp:lastPrinted>
  <dcterms:created xsi:type="dcterms:W3CDTF">2022-12-06T11:50:00Z</dcterms:created>
  <dcterms:modified xsi:type="dcterms:W3CDTF">2022-12-06T11:57:00Z</dcterms:modified>
  <dc:language>pl-PL</dc:language>
</cp:coreProperties>
</file>