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7EA" w:rsidRPr="00DA2AC1" w:rsidRDefault="003947EA" w:rsidP="003947EA">
      <w:pPr>
        <w:rPr>
          <w:b/>
          <w:bCs/>
          <w:sz w:val="24"/>
          <w:szCs w:val="24"/>
        </w:rPr>
      </w:pPr>
      <w:r w:rsidRPr="00DA2AC1">
        <w:rPr>
          <w:b/>
          <w:bCs/>
          <w:sz w:val="24"/>
          <w:szCs w:val="24"/>
        </w:rPr>
        <w:t xml:space="preserve">Okręgowy Szpital Kolejowy w Katowicach - </w:t>
      </w:r>
      <w:proofErr w:type="spellStart"/>
      <w:r w:rsidRPr="00DA2AC1">
        <w:rPr>
          <w:b/>
          <w:bCs/>
          <w:sz w:val="24"/>
          <w:szCs w:val="24"/>
        </w:rPr>
        <w:t>s.p.z.o.z</w:t>
      </w:r>
      <w:proofErr w:type="spellEnd"/>
      <w:r w:rsidRPr="00DA2AC1">
        <w:rPr>
          <w:b/>
          <w:bCs/>
          <w:sz w:val="24"/>
          <w:szCs w:val="24"/>
        </w:rPr>
        <w:t>.</w:t>
      </w:r>
    </w:p>
    <w:p w:rsidR="003947EA" w:rsidRPr="00DA2AC1" w:rsidRDefault="003947EA" w:rsidP="003947EA">
      <w:pPr>
        <w:rPr>
          <w:b/>
          <w:bCs/>
          <w:sz w:val="24"/>
          <w:szCs w:val="24"/>
        </w:rPr>
      </w:pPr>
      <w:proofErr w:type="spellStart"/>
      <w:r w:rsidRPr="00DA2AC1">
        <w:rPr>
          <w:b/>
          <w:bCs/>
          <w:sz w:val="24"/>
          <w:szCs w:val="24"/>
        </w:rPr>
        <w:t>Panewnicka</w:t>
      </w:r>
      <w:proofErr w:type="spellEnd"/>
      <w:r w:rsidRPr="00DA2AC1">
        <w:rPr>
          <w:b/>
          <w:bCs/>
          <w:sz w:val="24"/>
          <w:szCs w:val="24"/>
        </w:rPr>
        <w:t xml:space="preserve"> 65</w:t>
      </w:r>
    </w:p>
    <w:p w:rsidR="003947EA" w:rsidRPr="00DA2AC1" w:rsidRDefault="003947EA" w:rsidP="003947EA">
      <w:pPr>
        <w:rPr>
          <w:b/>
          <w:bCs/>
          <w:sz w:val="24"/>
          <w:szCs w:val="24"/>
        </w:rPr>
      </w:pPr>
      <w:r w:rsidRPr="00DA2AC1">
        <w:rPr>
          <w:b/>
          <w:bCs/>
          <w:sz w:val="24"/>
          <w:szCs w:val="24"/>
        </w:rPr>
        <w:t>40-760 Katowice</w:t>
      </w:r>
    </w:p>
    <w:p w:rsidR="003947EA" w:rsidRPr="00DA2AC1" w:rsidRDefault="003947EA" w:rsidP="003947EA">
      <w:pPr>
        <w:pStyle w:val="Nagwek"/>
        <w:tabs>
          <w:tab w:val="clear" w:pos="4536"/>
          <w:tab w:val="left" w:pos="3686"/>
          <w:tab w:val="left" w:pos="7371"/>
        </w:tabs>
        <w:rPr>
          <w:sz w:val="24"/>
          <w:szCs w:val="24"/>
        </w:rPr>
      </w:pPr>
    </w:p>
    <w:p w:rsidR="003947EA" w:rsidRPr="00DA2AC1" w:rsidRDefault="003947EA" w:rsidP="003947EA">
      <w:pPr>
        <w:pStyle w:val="Nagwek"/>
        <w:tabs>
          <w:tab w:val="clear" w:pos="4536"/>
        </w:tabs>
        <w:rPr>
          <w:sz w:val="24"/>
          <w:szCs w:val="24"/>
        </w:rPr>
      </w:pPr>
      <w:r w:rsidRPr="00DA2AC1">
        <w:rPr>
          <w:b/>
          <w:bCs/>
          <w:sz w:val="24"/>
          <w:szCs w:val="24"/>
        </w:rPr>
        <w:t>Pismo: AZP/</w:t>
      </w:r>
      <w:r>
        <w:rPr>
          <w:b/>
          <w:bCs/>
          <w:sz w:val="24"/>
          <w:szCs w:val="24"/>
        </w:rPr>
        <w:t>06</w:t>
      </w:r>
      <w:r w:rsidRPr="00DA2AC1">
        <w:rPr>
          <w:b/>
          <w:bCs/>
          <w:sz w:val="24"/>
          <w:szCs w:val="24"/>
        </w:rPr>
        <w:t>/P/202</w:t>
      </w:r>
      <w:r>
        <w:rPr>
          <w:b/>
          <w:bCs/>
          <w:sz w:val="24"/>
          <w:szCs w:val="24"/>
        </w:rPr>
        <w:t>3</w:t>
      </w:r>
      <w:r w:rsidRPr="00DA2AC1">
        <w:rPr>
          <w:sz w:val="24"/>
          <w:szCs w:val="24"/>
        </w:rPr>
        <w:tab/>
        <w:t xml:space="preserve"> Katowice dnia: 202</w:t>
      </w:r>
      <w:r>
        <w:rPr>
          <w:sz w:val="24"/>
          <w:szCs w:val="24"/>
        </w:rPr>
        <w:t>3</w:t>
      </w:r>
      <w:r w:rsidRPr="00DA2AC1">
        <w:rPr>
          <w:sz w:val="24"/>
          <w:szCs w:val="24"/>
        </w:rPr>
        <w:t>-</w:t>
      </w:r>
      <w:r>
        <w:rPr>
          <w:sz w:val="24"/>
          <w:szCs w:val="24"/>
        </w:rPr>
        <w:t>04</w:t>
      </w:r>
      <w:r w:rsidRPr="00DA2AC1">
        <w:rPr>
          <w:sz w:val="24"/>
          <w:szCs w:val="24"/>
        </w:rPr>
        <w:t>-</w:t>
      </w:r>
      <w:r w:rsidR="0056368F">
        <w:rPr>
          <w:sz w:val="24"/>
          <w:szCs w:val="24"/>
        </w:rPr>
        <w:t>1</w:t>
      </w:r>
      <w:r w:rsidR="00DE6689">
        <w:rPr>
          <w:sz w:val="24"/>
          <w:szCs w:val="24"/>
        </w:rPr>
        <w:t>3</w:t>
      </w:r>
    </w:p>
    <w:p w:rsidR="003947EA" w:rsidRPr="001566D5" w:rsidRDefault="003947EA" w:rsidP="003947EA">
      <w:pPr>
        <w:pStyle w:val="Nagwek1"/>
        <w:spacing w:before="0" w:after="0"/>
        <w:jc w:val="center"/>
        <w:rPr>
          <w:rFonts w:ascii="Times New Roman" w:hAnsi="Times New Roman"/>
          <w:sz w:val="16"/>
          <w:szCs w:val="16"/>
        </w:rPr>
      </w:pPr>
    </w:p>
    <w:p w:rsidR="003947EA" w:rsidRPr="001566D5" w:rsidRDefault="003947EA" w:rsidP="003947EA"/>
    <w:p w:rsidR="003947EA" w:rsidRDefault="003947EA" w:rsidP="003947EA">
      <w:pPr>
        <w:tabs>
          <w:tab w:val="left" w:pos="708"/>
          <w:tab w:val="center" w:pos="4536"/>
          <w:tab w:val="right" w:pos="9072"/>
        </w:tabs>
        <w:spacing w:after="20"/>
        <w:ind w:left="5245"/>
        <w:rPr>
          <w:b/>
          <w:sz w:val="24"/>
          <w:szCs w:val="24"/>
        </w:rPr>
      </w:pPr>
      <w:r>
        <w:rPr>
          <w:b/>
          <w:sz w:val="24"/>
          <w:szCs w:val="24"/>
        </w:rPr>
        <w:t>WYKONAWCY</w:t>
      </w:r>
    </w:p>
    <w:p w:rsidR="003947EA" w:rsidRDefault="003947EA" w:rsidP="003947EA">
      <w:pPr>
        <w:tabs>
          <w:tab w:val="left" w:pos="708"/>
          <w:tab w:val="center" w:pos="4536"/>
          <w:tab w:val="right" w:pos="9072"/>
        </w:tabs>
        <w:spacing w:after="20"/>
        <w:ind w:left="5245"/>
        <w:rPr>
          <w:i/>
          <w:sz w:val="24"/>
          <w:szCs w:val="24"/>
        </w:rPr>
      </w:pPr>
      <w:r>
        <w:rPr>
          <w:i/>
          <w:sz w:val="24"/>
          <w:szCs w:val="24"/>
        </w:rPr>
        <w:t>ubiegający się o zamówienie publiczne</w:t>
      </w:r>
    </w:p>
    <w:p w:rsidR="003947EA" w:rsidRDefault="003947EA" w:rsidP="003947EA">
      <w:pPr>
        <w:pStyle w:val="Nagwek"/>
        <w:tabs>
          <w:tab w:val="clear" w:pos="4536"/>
        </w:tabs>
        <w:rPr>
          <w:i/>
          <w:sz w:val="22"/>
          <w:szCs w:val="22"/>
        </w:rPr>
      </w:pPr>
    </w:p>
    <w:p w:rsidR="003947EA" w:rsidRPr="001566D5" w:rsidRDefault="003947EA" w:rsidP="003947EA">
      <w:pPr>
        <w:pStyle w:val="Nagwek1"/>
        <w:spacing w:before="0" w:after="0"/>
        <w:jc w:val="center"/>
        <w:rPr>
          <w:rFonts w:ascii="Times New Roman" w:hAnsi="Times New Roman"/>
          <w:sz w:val="16"/>
          <w:szCs w:val="16"/>
        </w:rPr>
      </w:pPr>
    </w:p>
    <w:p w:rsidR="003947EA" w:rsidRDefault="003947EA" w:rsidP="003947EA">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3947EA" w:rsidRDefault="003947EA" w:rsidP="003947EA">
      <w:pPr>
        <w:pStyle w:val="Nagwek1"/>
        <w:spacing w:before="0" w:after="0" w:line="360" w:lineRule="auto"/>
        <w:jc w:val="center"/>
        <w:rPr>
          <w:rFonts w:ascii="Times New Roman" w:hAnsi="Times New Roman"/>
          <w:sz w:val="24"/>
          <w:szCs w:val="24"/>
        </w:rPr>
      </w:pPr>
      <w:r>
        <w:rPr>
          <w:rFonts w:ascii="Times New Roman" w:hAnsi="Times New Roman"/>
          <w:sz w:val="24"/>
          <w:szCs w:val="24"/>
        </w:rPr>
        <w:t>SPECYFIKACJI WARUNKÓW ZAMÓWIENIA - 8</w:t>
      </w:r>
    </w:p>
    <w:p w:rsidR="003947EA" w:rsidRDefault="003947EA" w:rsidP="003947EA">
      <w:pPr>
        <w:jc w:val="both"/>
        <w:rPr>
          <w:i/>
          <w:sz w:val="22"/>
          <w:szCs w:val="22"/>
        </w:rPr>
      </w:pPr>
    </w:p>
    <w:p w:rsidR="003947EA" w:rsidRPr="00406690" w:rsidRDefault="003947EA" w:rsidP="003947EA">
      <w:pPr>
        <w:jc w:val="both"/>
        <w:rPr>
          <w:i/>
          <w:sz w:val="22"/>
          <w:szCs w:val="22"/>
        </w:rPr>
      </w:pPr>
      <w:r>
        <w:rPr>
          <w:i/>
          <w:sz w:val="22"/>
          <w:szCs w:val="22"/>
        </w:rPr>
        <w:t xml:space="preserve">dotyczy: </w:t>
      </w:r>
      <w:r w:rsidRPr="00406690">
        <w:rPr>
          <w:i/>
          <w:sz w:val="22"/>
          <w:szCs w:val="22"/>
        </w:rPr>
        <w:t xml:space="preserve">postępowania o udzielenie zamówienia publicznego, </w:t>
      </w:r>
    </w:p>
    <w:p w:rsidR="003947EA" w:rsidRPr="00406690" w:rsidRDefault="003947EA" w:rsidP="003947EA">
      <w:pPr>
        <w:jc w:val="both"/>
        <w:rPr>
          <w:b/>
          <w:i/>
          <w:sz w:val="22"/>
          <w:szCs w:val="22"/>
        </w:rPr>
      </w:pPr>
      <w:r w:rsidRPr="00406690">
        <w:rPr>
          <w:i/>
          <w:sz w:val="22"/>
          <w:szCs w:val="22"/>
        </w:rPr>
        <w:t xml:space="preserve">              prowadzonego w trybie </w:t>
      </w:r>
      <w:r>
        <w:rPr>
          <w:i/>
          <w:sz w:val="22"/>
          <w:szCs w:val="22"/>
        </w:rPr>
        <w:t>przetargu nieograniczonego</w:t>
      </w:r>
      <w:r w:rsidRPr="00406690">
        <w:rPr>
          <w:b/>
          <w:i/>
          <w:sz w:val="22"/>
          <w:szCs w:val="22"/>
        </w:rPr>
        <w:t xml:space="preserve"> </w:t>
      </w:r>
      <w:r w:rsidRPr="00406690">
        <w:rPr>
          <w:i/>
          <w:sz w:val="22"/>
          <w:szCs w:val="22"/>
        </w:rPr>
        <w:t>p</w:t>
      </w:r>
      <w:r w:rsidRPr="00406690">
        <w:rPr>
          <w:bCs/>
          <w:i/>
          <w:sz w:val="22"/>
          <w:szCs w:val="22"/>
        </w:rPr>
        <w:t>n.</w:t>
      </w:r>
      <w:r w:rsidRPr="00406690">
        <w:rPr>
          <w:b/>
          <w:i/>
          <w:sz w:val="22"/>
          <w:szCs w:val="22"/>
        </w:rPr>
        <w:t xml:space="preserve"> </w:t>
      </w:r>
    </w:p>
    <w:p w:rsidR="003947EA" w:rsidRPr="005B5F96" w:rsidRDefault="003947EA" w:rsidP="003947EA">
      <w:pPr>
        <w:ind w:left="851" w:hanging="851"/>
        <w:jc w:val="both"/>
        <w:rPr>
          <w:b/>
          <w:i/>
          <w:sz w:val="22"/>
          <w:szCs w:val="22"/>
        </w:rPr>
      </w:pPr>
      <w:r w:rsidRPr="00406690">
        <w:rPr>
          <w:bCs/>
          <w:i/>
          <w:sz w:val="22"/>
          <w:szCs w:val="22"/>
        </w:rPr>
        <w:t xml:space="preserve">             </w:t>
      </w:r>
      <w:r>
        <w:rPr>
          <w:b/>
          <w:bCs/>
          <w:sz w:val="22"/>
          <w:szCs w:val="22"/>
        </w:rPr>
        <w:t>„</w:t>
      </w:r>
      <w:r w:rsidRPr="00F46B31">
        <w:rPr>
          <w:b/>
          <w:bCs/>
          <w:i/>
          <w:sz w:val="22"/>
          <w:szCs w:val="22"/>
        </w:rPr>
        <w:t xml:space="preserve">Dostawa </w:t>
      </w:r>
      <w:r>
        <w:rPr>
          <w:b/>
          <w:bCs/>
          <w:i/>
          <w:sz w:val="22"/>
          <w:szCs w:val="22"/>
        </w:rPr>
        <w:t>produkt</w:t>
      </w:r>
      <w:r w:rsidRPr="00F46B31">
        <w:rPr>
          <w:b/>
          <w:bCs/>
          <w:i/>
          <w:sz w:val="22"/>
          <w:szCs w:val="22"/>
        </w:rPr>
        <w:t xml:space="preserve">ów </w:t>
      </w:r>
      <w:r>
        <w:rPr>
          <w:b/>
          <w:bCs/>
          <w:i/>
          <w:sz w:val="22"/>
          <w:szCs w:val="22"/>
        </w:rPr>
        <w:t>l</w:t>
      </w:r>
      <w:r w:rsidRPr="00F46B31">
        <w:rPr>
          <w:b/>
          <w:bCs/>
          <w:i/>
          <w:sz w:val="22"/>
          <w:szCs w:val="22"/>
        </w:rPr>
        <w:t>e</w:t>
      </w:r>
      <w:r>
        <w:rPr>
          <w:b/>
          <w:bCs/>
          <w:i/>
          <w:sz w:val="22"/>
          <w:szCs w:val="22"/>
        </w:rPr>
        <w:t>cz</w:t>
      </w:r>
      <w:r w:rsidRPr="00F46B31">
        <w:rPr>
          <w:b/>
          <w:bCs/>
          <w:i/>
          <w:sz w:val="22"/>
          <w:szCs w:val="22"/>
        </w:rPr>
        <w:t>n</w:t>
      </w:r>
      <w:r>
        <w:rPr>
          <w:b/>
          <w:bCs/>
          <w:i/>
          <w:sz w:val="22"/>
          <w:szCs w:val="22"/>
        </w:rPr>
        <w:t>icz</w:t>
      </w:r>
      <w:r w:rsidRPr="00F46B31">
        <w:rPr>
          <w:b/>
          <w:bCs/>
          <w:i/>
          <w:sz w:val="22"/>
          <w:szCs w:val="22"/>
        </w:rPr>
        <w:t>ych</w:t>
      </w:r>
      <w:r w:rsidRPr="005B5F96">
        <w:rPr>
          <w:b/>
          <w:bCs/>
          <w:sz w:val="22"/>
          <w:szCs w:val="22"/>
        </w:rPr>
        <w:t>”</w:t>
      </w:r>
      <w:r w:rsidRPr="005B5F96">
        <w:rPr>
          <w:bCs/>
          <w:sz w:val="22"/>
          <w:szCs w:val="22"/>
        </w:rPr>
        <w:t xml:space="preserve">; </w:t>
      </w:r>
      <w:r w:rsidRPr="005B5F96">
        <w:rPr>
          <w:bCs/>
          <w:i/>
          <w:sz w:val="22"/>
          <w:szCs w:val="22"/>
        </w:rPr>
        <w:t>nr postępowania:</w:t>
      </w:r>
      <w:r w:rsidRPr="005B5F96">
        <w:rPr>
          <w:b/>
          <w:i/>
          <w:sz w:val="22"/>
          <w:szCs w:val="22"/>
        </w:rPr>
        <w:t xml:space="preserve"> AZP/</w:t>
      </w:r>
      <w:r>
        <w:rPr>
          <w:b/>
          <w:i/>
          <w:sz w:val="22"/>
          <w:szCs w:val="22"/>
        </w:rPr>
        <w:t>06</w:t>
      </w:r>
      <w:r w:rsidRPr="005B5F96">
        <w:rPr>
          <w:b/>
          <w:i/>
          <w:sz w:val="22"/>
          <w:szCs w:val="22"/>
        </w:rPr>
        <w:t>/P/202</w:t>
      </w:r>
      <w:r>
        <w:rPr>
          <w:b/>
          <w:i/>
          <w:sz w:val="22"/>
          <w:szCs w:val="22"/>
        </w:rPr>
        <w:t>3</w:t>
      </w:r>
    </w:p>
    <w:p w:rsidR="003947EA" w:rsidRDefault="003947EA" w:rsidP="003947EA">
      <w:pPr>
        <w:jc w:val="both"/>
        <w:rPr>
          <w:b/>
          <w:sz w:val="22"/>
          <w:szCs w:val="22"/>
        </w:rPr>
      </w:pPr>
    </w:p>
    <w:p w:rsidR="001A315B" w:rsidRDefault="001A315B" w:rsidP="003947EA">
      <w:pPr>
        <w:jc w:val="both"/>
        <w:rPr>
          <w:sz w:val="24"/>
          <w:szCs w:val="24"/>
        </w:rPr>
      </w:pPr>
    </w:p>
    <w:p w:rsidR="003947EA" w:rsidRPr="001566D5" w:rsidRDefault="003947EA" w:rsidP="003947EA">
      <w:pPr>
        <w:jc w:val="both"/>
        <w:rPr>
          <w:sz w:val="24"/>
          <w:szCs w:val="24"/>
        </w:rPr>
      </w:pPr>
      <w:r w:rsidRPr="001566D5">
        <w:rPr>
          <w:sz w:val="24"/>
          <w:szCs w:val="24"/>
        </w:rPr>
        <w:t xml:space="preserve">Zamawiający, </w:t>
      </w:r>
      <w:r w:rsidRPr="001566D5">
        <w:rPr>
          <w:b/>
          <w:sz w:val="24"/>
          <w:szCs w:val="24"/>
        </w:rPr>
        <w:t xml:space="preserve">Okręgowy Szpital Kolejowy w Katowicach - </w:t>
      </w:r>
      <w:proofErr w:type="spellStart"/>
      <w:r w:rsidRPr="001566D5">
        <w:rPr>
          <w:b/>
          <w:sz w:val="24"/>
          <w:szCs w:val="24"/>
        </w:rPr>
        <w:t>s.p.z.o.z</w:t>
      </w:r>
      <w:proofErr w:type="spellEnd"/>
      <w:r w:rsidRPr="001566D5">
        <w:rPr>
          <w:b/>
          <w:sz w:val="24"/>
          <w:szCs w:val="24"/>
        </w:rPr>
        <w:t>.</w:t>
      </w:r>
      <w:r w:rsidRPr="001566D5">
        <w:rPr>
          <w:sz w:val="24"/>
          <w:szCs w:val="24"/>
        </w:rPr>
        <w:t>, działając na podstawie art. </w:t>
      </w:r>
      <w:r>
        <w:rPr>
          <w:sz w:val="24"/>
          <w:szCs w:val="24"/>
        </w:rPr>
        <w:t>135</w:t>
      </w:r>
      <w:r w:rsidRPr="001566D5">
        <w:rPr>
          <w:sz w:val="24"/>
          <w:szCs w:val="24"/>
        </w:rPr>
        <w:t xml:space="preserve"> ust. 6 ustawy z dnia 11 września 2019r. Prawo zamówień publicznych (Dz. U. z 202</w:t>
      </w:r>
      <w:r>
        <w:rPr>
          <w:sz w:val="24"/>
          <w:szCs w:val="24"/>
        </w:rPr>
        <w:t>2</w:t>
      </w:r>
      <w:r w:rsidRPr="001566D5">
        <w:rPr>
          <w:sz w:val="24"/>
          <w:szCs w:val="24"/>
        </w:rPr>
        <w:t>r. poz. 1</w:t>
      </w:r>
      <w:r>
        <w:rPr>
          <w:sz w:val="24"/>
          <w:szCs w:val="24"/>
        </w:rPr>
        <w:t>710</w:t>
      </w:r>
      <w:r w:rsidRPr="001566D5">
        <w:rPr>
          <w:sz w:val="24"/>
          <w:szCs w:val="24"/>
        </w:rPr>
        <w:t xml:space="preserve"> z </w:t>
      </w:r>
      <w:proofErr w:type="spellStart"/>
      <w:r w:rsidRPr="001566D5">
        <w:rPr>
          <w:sz w:val="24"/>
          <w:szCs w:val="24"/>
        </w:rPr>
        <w:t>późn</w:t>
      </w:r>
      <w:proofErr w:type="spellEnd"/>
      <w:r w:rsidRPr="001566D5">
        <w:rPr>
          <w:sz w:val="24"/>
          <w:szCs w:val="24"/>
        </w:rPr>
        <w:t>. zm.), udostępnia poniżej treść zapytań do Specyfikacji Warunków Zamówienia (</w:t>
      </w:r>
      <w:r w:rsidRPr="001566D5">
        <w:rPr>
          <w:sz w:val="24"/>
          <w:szCs w:val="24"/>
          <w:lang w:eastAsia="ar-SA"/>
        </w:rPr>
        <w:t>zwanej dalej</w:t>
      </w:r>
      <w:r w:rsidRPr="001566D5">
        <w:rPr>
          <w:b/>
          <w:sz w:val="24"/>
          <w:szCs w:val="24"/>
          <w:lang w:eastAsia="ar-SA"/>
        </w:rPr>
        <w:t xml:space="preserve"> </w:t>
      </w:r>
      <w:r w:rsidRPr="001566D5">
        <w:rPr>
          <w:bCs/>
          <w:sz w:val="24"/>
          <w:szCs w:val="24"/>
          <w:lang w:eastAsia="ar-SA"/>
        </w:rPr>
        <w:t xml:space="preserve">”SWZ”) </w:t>
      </w:r>
      <w:r w:rsidRPr="001566D5">
        <w:rPr>
          <w:sz w:val="24"/>
          <w:szCs w:val="24"/>
        </w:rPr>
        <w:t>wraz z wyjaśnieniami</w:t>
      </w:r>
      <w:r w:rsidRPr="001566D5">
        <w:rPr>
          <w:bCs/>
          <w:sz w:val="24"/>
          <w:szCs w:val="24"/>
          <w:lang w:eastAsia="ar-SA"/>
        </w:rPr>
        <w:t>:</w:t>
      </w:r>
    </w:p>
    <w:p w:rsidR="006D4AB3" w:rsidRPr="009003D1" w:rsidRDefault="006D4AB3">
      <w:pPr>
        <w:pStyle w:val="Nagwek"/>
        <w:tabs>
          <w:tab w:val="clear" w:pos="4536"/>
          <w:tab w:val="clear" w:pos="9072"/>
        </w:tabs>
        <w:rPr>
          <w:rFonts w:ascii="Arial" w:hAnsi="Arial" w:cs="Arial"/>
          <w:sz w:val="22"/>
          <w:szCs w:val="22"/>
        </w:rPr>
      </w:pPr>
    </w:p>
    <w:tbl>
      <w:tblPr>
        <w:tblW w:w="9356" w:type="dxa"/>
        <w:tblInd w:w="-34" w:type="dxa"/>
        <w:tblLook w:val="04A0"/>
      </w:tblPr>
      <w:tblGrid>
        <w:gridCol w:w="9356"/>
      </w:tblGrid>
      <w:tr w:rsidR="007D0F79" w:rsidRPr="003947EA" w:rsidTr="00772204">
        <w:tc>
          <w:tcPr>
            <w:tcW w:w="9356" w:type="dxa"/>
            <w:shd w:val="clear" w:color="auto" w:fill="auto"/>
          </w:tcPr>
          <w:p w:rsidR="007D0F79" w:rsidRPr="003947EA" w:rsidRDefault="007D0F79" w:rsidP="00772204">
            <w:pPr>
              <w:spacing w:after="120"/>
              <w:ind w:left="30" w:right="-72"/>
              <w:jc w:val="both"/>
              <w:rPr>
                <w:sz w:val="24"/>
                <w:szCs w:val="24"/>
              </w:rPr>
            </w:pPr>
            <w:r w:rsidRPr="003947EA">
              <w:rPr>
                <w:sz w:val="24"/>
                <w:szCs w:val="24"/>
                <w:u w:val="single"/>
              </w:rPr>
              <w:t>Pytania do wzoru umowy</w:t>
            </w:r>
            <w:r w:rsidRPr="003947EA">
              <w:rPr>
                <w:sz w:val="24"/>
                <w:szCs w:val="24"/>
              </w:rPr>
              <w:t xml:space="preserve">: </w:t>
            </w:r>
          </w:p>
          <w:p w:rsidR="007D0F79" w:rsidRDefault="007D0F79" w:rsidP="00F3356A">
            <w:pPr>
              <w:numPr>
                <w:ilvl w:val="0"/>
                <w:numId w:val="8"/>
              </w:numPr>
              <w:ind w:right="-74"/>
              <w:jc w:val="both"/>
              <w:rPr>
                <w:sz w:val="24"/>
                <w:szCs w:val="24"/>
              </w:rPr>
            </w:pPr>
            <w:r w:rsidRPr="003947EA">
              <w:rPr>
                <w:sz w:val="24"/>
                <w:szCs w:val="24"/>
              </w:rPr>
              <w:t xml:space="preserve">Do §4 ust. 3 wzoru umowy: Prosimy o zmianę treści §4 ust. 3 w zakresie w jakim Zamawiający zastrzega realizowanie płatności w terminie do 90 dni od dnia doręczenia przez Wykonawcę do siedziby Zamawiającego prawidłowo wystawionej faktury. Z uwagi na powyższe, wskazujemy, że ww. postanowienie wzoru umowy stoi w sprzeczności z art. 8 ust. 2 ustawy z dnia 8 marca 2013r. o przeciwdziałaniu nadmiernym opóźnieniom </w:t>
            </w:r>
            <w:r w:rsidR="001A315B">
              <w:rPr>
                <w:sz w:val="24"/>
                <w:szCs w:val="24"/>
              </w:rPr>
              <w:t xml:space="preserve">                      </w:t>
            </w:r>
            <w:r w:rsidRPr="003947EA">
              <w:rPr>
                <w:sz w:val="24"/>
                <w:szCs w:val="24"/>
              </w:rPr>
              <w:t xml:space="preserve">w transakcjach handlowych zgodnie, z którym „[…] w transakcjach handlowych, </w:t>
            </w:r>
            <w:r w:rsidR="001A315B">
              <w:rPr>
                <w:sz w:val="24"/>
                <w:szCs w:val="24"/>
              </w:rPr>
              <w:t xml:space="preserve">                          </w:t>
            </w:r>
            <w:r w:rsidRPr="003947EA">
              <w:rPr>
                <w:sz w:val="24"/>
                <w:szCs w:val="24"/>
              </w:rPr>
              <w:t xml:space="preserve">w których dłużnikiem jest podmiot publiczny będący podmiotem leczniczym, termin ten (termin płatności) nie może przekraczać 60 dni. W przypadku gdy strony ustalą harmonogram spełnienia świadczenia pieniężnego w częściach, termin ten stosuje się do zapłaty każdej części świadczenia pieniężnego.”. Jeżeli zatem Zamawiający nie zdecyduje się na doprowadzenie wzoru umowy do stanu zgodnego z wskazanymi, powszechnie obowiązującymi przepisami prawa, tj. nie zmieni sposobu płatności w taki sposób, aby zapłata za każdorazową dostawę dokonywana była w ciągu 60 dni od daty otrzymania prawidłowo wystawionej faktury VAT (przekazywanej Zamawiającemu wraz </w:t>
            </w:r>
            <w:r w:rsidR="001A315B">
              <w:rPr>
                <w:sz w:val="24"/>
                <w:szCs w:val="24"/>
              </w:rPr>
              <w:t xml:space="preserve">                                </w:t>
            </w:r>
            <w:r w:rsidRPr="003947EA">
              <w:rPr>
                <w:sz w:val="24"/>
                <w:szCs w:val="24"/>
              </w:rPr>
              <w:t xml:space="preserve">z realizowanym zamówieniem), wskazujmy że Wykonawcy zamówienia publicznego automatycznie nabędą uprawnienia do każdorazowego korzystania z uprawnień wskazanych w art. 8 ust. 1 w zw. z ust. 4a wskazanej ustawy, zgodnie z którym „Jeżeli </w:t>
            </w:r>
            <w:r w:rsidR="003947EA">
              <w:rPr>
                <w:sz w:val="24"/>
                <w:szCs w:val="24"/>
              </w:rPr>
              <w:t xml:space="preserve">                       </w:t>
            </w:r>
            <w:r w:rsidRPr="003947EA">
              <w:rPr>
                <w:sz w:val="24"/>
                <w:szCs w:val="24"/>
              </w:rPr>
              <w:t xml:space="preserve">w transakcji handlowej, w której dłużnikiem jest podmiot publiczny będący podmiotem leczniczym, ustalony w umowie termin zapłaty jest dłuższy niż 60 dni, liczonych od dnia doręczenia dłużnikowi faktury lub rachunku, potwierdzających dostawę towaru lub wykonanie usługi, wierzycielowi, który spełnił swoje świadczenie, po upływie 60 dni przysługują odsetki, o których mowa w ust. 1.” a także w art. 10 ust. 1 i ust. 2: „Wierzycielowi, od dnia nabycia uprawnienia do odsetek, o których mowa w art. 7 ust. 1 lub art. 8 ust. 1, przysługuje od dłużnika, bez wezwania, rekompensata za koszty odzyskiwania należności” oraz „Oprócz kwoty, o której mowa w ust. 1, wierzycielowi przysługuje również zwrot, w uzasadnionej wysokości, poniesionych kosztów odzyskiwania należności przewyższających tę kwotę.”. Nadmieniamy jednocześnie, że wyżej wymienione uprawnienia są niezbywalne i jakakolwiek próba wyłączenia ich przez </w:t>
            </w:r>
            <w:r w:rsidRPr="003947EA">
              <w:rPr>
                <w:sz w:val="24"/>
                <w:szCs w:val="24"/>
              </w:rPr>
              <w:lastRenderedPageBreak/>
              <w:t xml:space="preserve">Zamawiającego obarczone będzie bezpośrednio sankcją nieważności, co literalnie wynika </w:t>
            </w:r>
            <w:r w:rsidR="00F3356A">
              <w:rPr>
                <w:sz w:val="24"/>
                <w:szCs w:val="24"/>
              </w:rPr>
              <w:t xml:space="preserve">   </w:t>
            </w:r>
            <w:r w:rsidRPr="003947EA">
              <w:rPr>
                <w:sz w:val="24"/>
                <w:szCs w:val="24"/>
              </w:rPr>
              <w:t xml:space="preserve">z art. 13 ust. 1 ustawy z dnia 8 marca 2013r. o przeciwdziałaniu nadmiernym opóźnieniom </w:t>
            </w:r>
            <w:r w:rsidR="00F3356A">
              <w:rPr>
                <w:sz w:val="24"/>
                <w:szCs w:val="24"/>
              </w:rPr>
              <w:t xml:space="preserve">        </w:t>
            </w:r>
            <w:r w:rsidRPr="003947EA">
              <w:rPr>
                <w:sz w:val="24"/>
                <w:szCs w:val="24"/>
              </w:rPr>
              <w:t xml:space="preserve">w transakcjach handlowych, zgodnie z którym "Postanowienia umowy wyłączające lub ograniczające uprawnienia wierzyciela lub obowiązki dłużnika, o których mowa w art. 5, art. 6 ust. 1, art. 7 ust. 1 i 3, art. 8 ust. 1, 4 i 4a, art. 10, art. 11 i art. 12, lub mające na celu obejście tych przepisów, są nieważne, a zamiast nich stosuje się przepisy ustawy.". Przepis ten jasno stanowi, że strony umowy nie są upoważnione do ważnego w świetle prawa wyłączenia uprawnienia wierzyciela przewidzianego w art. 8 ust. 4a, art. 10 ust. 1 ustawy, co nadaje temu ostatniemu przepisowi charakter </w:t>
            </w:r>
            <w:proofErr w:type="spellStart"/>
            <w:r w:rsidRPr="003947EA">
              <w:rPr>
                <w:sz w:val="24"/>
                <w:szCs w:val="24"/>
              </w:rPr>
              <w:t>iuris</w:t>
            </w:r>
            <w:proofErr w:type="spellEnd"/>
            <w:r w:rsidRPr="003947EA">
              <w:rPr>
                <w:sz w:val="24"/>
                <w:szCs w:val="24"/>
              </w:rPr>
              <w:t xml:space="preserve"> </w:t>
            </w:r>
            <w:proofErr w:type="spellStart"/>
            <w:r w:rsidRPr="003947EA">
              <w:rPr>
                <w:sz w:val="24"/>
                <w:szCs w:val="24"/>
              </w:rPr>
              <w:t>cogentis</w:t>
            </w:r>
            <w:proofErr w:type="spellEnd"/>
            <w:r w:rsidRPr="003947EA">
              <w:rPr>
                <w:sz w:val="24"/>
                <w:szCs w:val="24"/>
              </w:rPr>
              <w:t xml:space="preserve"> (bezwzględnie obowiązujący). Zaznaczamy ponadto, że również w doktrynie powszechnie podnosi się, że „Za niedopuszczalne należy uznać postanowienia umowne abstrakcyjnie wyłączające lub ograniczające uprawnienia wierzyciela lub obowiązki dłużnika, tzn. przyjęte przez strony jeszcze przed powstaniem określonego uprawnienia lub obowiązku” (Komentarz do Art. 13 Ustawy o przeciwdziałaniu nadmiernym opóźnieniom w transakcjach handlowych, red. </w:t>
            </w:r>
            <w:proofErr w:type="spellStart"/>
            <w:r w:rsidRPr="003947EA">
              <w:rPr>
                <w:sz w:val="24"/>
                <w:szCs w:val="24"/>
              </w:rPr>
              <w:t>Osajda</w:t>
            </w:r>
            <w:proofErr w:type="spellEnd"/>
            <w:r w:rsidRPr="003947EA">
              <w:rPr>
                <w:sz w:val="24"/>
                <w:szCs w:val="24"/>
              </w:rPr>
              <w:t xml:space="preserve"> 2021, wyd. 4/B. </w:t>
            </w:r>
            <w:proofErr w:type="spellStart"/>
            <w:r w:rsidRPr="003947EA">
              <w:rPr>
                <w:sz w:val="24"/>
                <w:szCs w:val="24"/>
              </w:rPr>
              <w:t>Ostrzechowski</w:t>
            </w:r>
            <w:proofErr w:type="spellEnd"/>
            <w:r w:rsidRPr="003947EA">
              <w:rPr>
                <w:sz w:val="24"/>
                <w:szCs w:val="24"/>
              </w:rPr>
              <w:t xml:space="preserve">/K. </w:t>
            </w:r>
            <w:proofErr w:type="spellStart"/>
            <w:r w:rsidRPr="003947EA">
              <w:rPr>
                <w:sz w:val="24"/>
                <w:szCs w:val="24"/>
              </w:rPr>
              <w:t>Riedl</w:t>
            </w:r>
            <w:proofErr w:type="spellEnd"/>
            <w:r w:rsidRPr="003947EA">
              <w:rPr>
                <w:sz w:val="24"/>
                <w:szCs w:val="24"/>
              </w:rPr>
              <w:t xml:space="preserve">). Ponadto, wprost uznaje się, że: „Celem normy wyrażonej w art. 13 </w:t>
            </w:r>
            <w:proofErr w:type="spellStart"/>
            <w:r w:rsidRPr="003947EA">
              <w:rPr>
                <w:sz w:val="24"/>
                <w:szCs w:val="24"/>
              </w:rPr>
              <w:t>TransHandlZapU</w:t>
            </w:r>
            <w:proofErr w:type="spellEnd"/>
            <w:r w:rsidRPr="003947EA">
              <w:rPr>
                <w:sz w:val="24"/>
                <w:szCs w:val="24"/>
              </w:rPr>
              <w:t xml:space="preserve"> jest zapobieżenie sytuacji, w której jedna ze strona (dłużnik) transakcji handlowej wykorzystując przewagę negocjacyjną, wymusza na drugiej stronie (wierzycielu) odpowiednie postanowienia umowne, które uszczuplają bądź nawet wyłączają uprawnienia wierzyciela bądź obowiązki dłużnika przewidziane w art. 5, 6 ust. 1, art. 7 ust. 1 i 3, art. 8 ust. 1 i 4, 10, 11 i 12 </w:t>
            </w:r>
            <w:proofErr w:type="spellStart"/>
            <w:r w:rsidRPr="003947EA">
              <w:rPr>
                <w:sz w:val="24"/>
                <w:szCs w:val="24"/>
              </w:rPr>
              <w:t>TransHandlZapU</w:t>
            </w:r>
            <w:proofErr w:type="spellEnd"/>
            <w:r w:rsidRPr="003947EA">
              <w:rPr>
                <w:sz w:val="24"/>
                <w:szCs w:val="24"/>
              </w:rPr>
              <w:t xml:space="preserve">” (Komentarz do Art. 13 Ustawy o przeciwdziałaniu nadmiernym opóźnieniom w transakcjach handlowych red. </w:t>
            </w:r>
            <w:proofErr w:type="spellStart"/>
            <w:r w:rsidRPr="003947EA">
              <w:rPr>
                <w:sz w:val="24"/>
                <w:szCs w:val="24"/>
              </w:rPr>
              <w:t>Osajda</w:t>
            </w:r>
            <w:proofErr w:type="spellEnd"/>
            <w:r w:rsidRPr="003947EA">
              <w:rPr>
                <w:sz w:val="24"/>
                <w:szCs w:val="24"/>
              </w:rPr>
              <w:t xml:space="preserve"> 2017, wyd. 1/Cudny) Podkreślić należy natomiast, za wyrokiem KIO z 12.06.2015 r. (KIO 1127/15, LEX nr 1805929), że: „SIWZ jest oświadczeniem zamawiającego </w:t>
            </w:r>
            <w:r w:rsidR="00F3356A">
              <w:rPr>
                <w:sz w:val="24"/>
                <w:szCs w:val="24"/>
              </w:rPr>
              <w:t xml:space="preserve">                        </w:t>
            </w:r>
            <w:r w:rsidRPr="003947EA">
              <w:rPr>
                <w:sz w:val="24"/>
                <w:szCs w:val="24"/>
              </w:rPr>
              <w:t xml:space="preserve">o charakterze cywilnoprawnym, zatem postanowienie SIWZ sprzeczne z przepisem </w:t>
            </w:r>
            <w:r w:rsidR="00F3356A">
              <w:rPr>
                <w:sz w:val="24"/>
                <w:szCs w:val="24"/>
              </w:rPr>
              <w:t xml:space="preserve">                        </w:t>
            </w:r>
            <w:r w:rsidRPr="003947EA">
              <w:rPr>
                <w:sz w:val="24"/>
                <w:szCs w:val="24"/>
              </w:rPr>
              <w:t>o charakterze bezwzględnie obowiązującym nie może być prawnie skuteczne, gdyż jest dotknięte sankcją nieważności". W konsekwencji, postanowienie takie, finalnie, zostanie uznane za nieważne</w:t>
            </w:r>
            <w:r w:rsidR="00F3356A">
              <w:rPr>
                <w:sz w:val="24"/>
                <w:szCs w:val="24"/>
              </w:rPr>
              <w:t xml:space="preserve"> </w:t>
            </w:r>
            <w:r w:rsidRPr="003947EA">
              <w:rPr>
                <w:sz w:val="24"/>
                <w:szCs w:val="24"/>
              </w:rPr>
              <w:t>w ewentualnym postępowaniu sądowym, stosownie do art. 58 § 1 Kodeksu cywilnego. Stąd, Wykonawca wzywa Zamawiającego do nadania wzorowi umowy treści zgodnej z bezwzględnie obowiązującymi przepisami prawa już na etapie postępowania przetargowego.</w:t>
            </w:r>
          </w:p>
          <w:p w:rsidR="00F3356A" w:rsidRPr="00F3356A" w:rsidRDefault="00F3356A" w:rsidP="00F3356A">
            <w:pPr>
              <w:ind w:left="30" w:right="-74"/>
              <w:jc w:val="both"/>
              <w:rPr>
                <w:b/>
                <w:sz w:val="24"/>
                <w:szCs w:val="24"/>
              </w:rPr>
            </w:pPr>
            <w:r w:rsidRPr="00F3356A">
              <w:rPr>
                <w:b/>
                <w:sz w:val="24"/>
                <w:szCs w:val="24"/>
              </w:rPr>
              <w:t>Odp.:</w:t>
            </w:r>
          </w:p>
          <w:p w:rsidR="0056368F" w:rsidRPr="0058735B" w:rsidRDefault="0056368F" w:rsidP="0056368F">
            <w:pPr>
              <w:spacing w:after="120"/>
              <w:ind w:left="30" w:right="-72"/>
              <w:jc w:val="both"/>
              <w:rPr>
                <w:sz w:val="24"/>
                <w:szCs w:val="24"/>
              </w:rPr>
            </w:pPr>
            <w:r>
              <w:rPr>
                <w:sz w:val="24"/>
                <w:szCs w:val="24"/>
              </w:rPr>
              <w:t xml:space="preserve">Zamawiający nie wyraża zgody na modyfikację treści </w:t>
            </w:r>
            <w:r w:rsidRPr="0058735B">
              <w:rPr>
                <w:sz w:val="24"/>
                <w:szCs w:val="24"/>
              </w:rPr>
              <w:t>§</w:t>
            </w:r>
            <w:r>
              <w:rPr>
                <w:sz w:val="24"/>
                <w:szCs w:val="24"/>
              </w:rPr>
              <w:t>4</w:t>
            </w:r>
            <w:r w:rsidRPr="0058735B">
              <w:rPr>
                <w:sz w:val="24"/>
                <w:szCs w:val="24"/>
              </w:rPr>
              <w:t xml:space="preserve"> ust. </w:t>
            </w:r>
            <w:r>
              <w:rPr>
                <w:sz w:val="24"/>
                <w:szCs w:val="24"/>
              </w:rPr>
              <w:t>3</w:t>
            </w:r>
            <w:r w:rsidRPr="0058735B">
              <w:rPr>
                <w:sz w:val="24"/>
                <w:szCs w:val="24"/>
              </w:rPr>
              <w:t xml:space="preserve"> </w:t>
            </w:r>
            <w:r>
              <w:rPr>
                <w:sz w:val="24"/>
                <w:szCs w:val="24"/>
              </w:rPr>
              <w:t>Projekt</w:t>
            </w:r>
            <w:r w:rsidRPr="0058735B">
              <w:rPr>
                <w:sz w:val="24"/>
                <w:szCs w:val="24"/>
              </w:rPr>
              <w:t>u umowy</w:t>
            </w:r>
            <w:r>
              <w:rPr>
                <w:sz w:val="24"/>
                <w:szCs w:val="24"/>
              </w:rPr>
              <w:t xml:space="preserve">. </w:t>
            </w:r>
          </w:p>
          <w:p w:rsidR="00F3356A" w:rsidRPr="003947EA" w:rsidRDefault="00F3356A" w:rsidP="00F3356A">
            <w:pPr>
              <w:ind w:left="30" w:right="-74"/>
              <w:jc w:val="both"/>
              <w:rPr>
                <w:sz w:val="24"/>
                <w:szCs w:val="24"/>
              </w:rPr>
            </w:pPr>
          </w:p>
          <w:p w:rsidR="007D0F79" w:rsidRPr="003947EA" w:rsidRDefault="007D0F79" w:rsidP="00772204">
            <w:pPr>
              <w:spacing w:after="60"/>
              <w:ind w:left="30" w:right="-72"/>
              <w:jc w:val="both"/>
              <w:rPr>
                <w:sz w:val="24"/>
                <w:szCs w:val="24"/>
                <w:highlight w:val="darkGray"/>
              </w:rPr>
            </w:pPr>
          </w:p>
        </w:tc>
      </w:tr>
    </w:tbl>
    <w:p w:rsidR="00B22FC5" w:rsidRDefault="00B22FC5" w:rsidP="00B22FC5">
      <w:pPr>
        <w:jc w:val="right"/>
        <w:rPr>
          <w:i/>
          <w:sz w:val="24"/>
          <w:szCs w:val="24"/>
        </w:rPr>
      </w:pPr>
    </w:p>
    <w:p w:rsidR="00B22FC5" w:rsidRDefault="00B22FC5" w:rsidP="00B22FC5">
      <w:pPr>
        <w:jc w:val="right"/>
        <w:rPr>
          <w:i/>
          <w:sz w:val="24"/>
          <w:szCs w:val="24"/>
        </w:rPr>
      </w:pPr>
      <w:r w:rsidRPr="00F5699A">
        <w:rPr>
          <w:i/>
          <w:sz w:val="24"/>
          <w:szCs w:val="24"/>
        </w:rPr>
        <w:t xml:space="preserve">Zamawiający </w:t>
      </w:r>
    </w:p>
    <w:p w:rsidR="00B22FC5" w:rsidRDefault="00B22FC5" w:rsidP="00B22FC5">
      <w:pPr>
        <w:jc w:val="right"/>
        <w:rPr>
          <w:i/>
          <w:sz w:val="24"/>
          <w:szCs w:val="24"/>
        </w:rPr>
      </w:pPr>
    </w:p>
    <w:p w:rsidR="00B22FC5" w:rsidRDefault="00B22FC5" w:rsidP="00B22FC5">
      <w:pPr>
        <w:jc w:val="right"/>
        <w:rPr>
          <w:i/>
          <w:sz w:val="24"/>
          <w:szCs w:val="24"/>
        </w:rPr>
      </w:pPr>
      <w:r>
        <w:rPr>
          <w:i/>
          <w:sz w:val="24"/>
          <w:szCs w:val="24"/>
        </w:rPr>
        <w:t xml:space="preserve"> Dyrektor</w:t>
      </w:r>
    </w:p>
    <w:p w:rsidR="00B22FC5" w:rsidRPr="005B5F96" w:rsidRDefault="00B22FC5" w:rsidP="00B22FC5">
      <w:pPr>
        <w:jc w:val="right"/>
        <w:rPr>
          <w:sz w:val="24"/>
          <w:szCs w:val="24"/>
        </w:rPr>
      </w:pPr>
      <w:r>
        <w:rPr>
          <w:i/>
          <w:sz w:val="24"/>
          <w:szCs w:val="24"/>
        </w:rPr>
        <w:t xml:space="preserve">Adam </w:t>
      </w:r>
      <w:proofErr w:type="spellStart"/>
      <w:r>
        <w:rPr>
          <w:i/>
          <w:sz w:val="24"/>
          <w:szCs w:val="24"/>
        </w:rPr>
        <w:t>Trzebinczyk</w:t>
      </w:r>
      <w:proofErr w:type="spellEnd"/>
      <w:r>
        <w:rPr>
          <w:i/>
          <w:sz w:val="24"/>
          <w:szCs w:val="24"/>
        </w:rPr>
        <w:t xml:space="preserve">  </w:t>
      </w:r>
    </w:p>
    <w:p w:rsidR="00BE7BFD" w:rsidRPr="003947EA" w:rsidRDefault="00BE7BFD" w:rsidP="00520165">
      <w:pPr>
        <w:jc w:val="both"/>
        <w:rPr>
          <w:sz w:val="24"/>
          <w:szCs w:val="24"/>
        </w:rPr>
      </w:pPr>
    </w:p>
    <w:sectPr w:rsidR="00BE7BFD" w:rsidRPr="003947EA" w:rsidSect="003947EA">
      <w:footerReference w:type="even" r:id="rId7"/>
      <w:footerReference w:type="default" r:id="rId8"/>
      <w:footerReference w:type="first" r:id="rId9"/>
      <w:pgSz w:w="11906" w:h="16838" w:code="9"/>
      <w:pgMar w:top="709" w:right="1418" w:bottom="1418" w:left="1418" w:header="426"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6B14" w:rsidRDefault="00806B14">
      <w:r>
        <w:separator/>
      </w:r>
    </w:p>
  </w:endnote>
  <w:endnote w:type="continuationSeparator" w:id="0">
    <w:p w:rsidR="00806B14" w:rsidRDefault="00806B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9C46ED">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9C46ED">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9C46ED">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BF3B63" w:rsidRPr="00BF3B63">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6B14" w:rsidRDefault="00806B14">
      <w:r>
        <w:separator/>
      </w:r>
    </w:p>
  </w:footnote>
  <w:footnote w:type="continuationSeparator" w:id="0">
    <w:p w:rsidR="00806B14" w:rsidRDefault="00806B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5EC165BF"/>
    <w:multiLevelType w:val="hybridMultilevel"/>
    <w:tmpl w:val="9BA22392"/>
    <w:lvl w:ilvl="0" w:tplc="9BE638C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7D0F79"/>
    <w:rsid w:val="00031374"/>
    <w:rsid w:val="000A1097"/>
    <w:rsid w:val="000E2A8F"/>
    <w:rsid w:val="001169FA"/>
    <w:rsid w:val="0012774F"/>
    <w:rsid w:val="00144B7A"/>
    <w:rsid w:val="00180C6E"/>
    <w:rsid w:val="001A315B"/>
    <w:rsid w:val="002845CC"/>
    <w:rsid w:val="002863CC"/>
    <w:rsid w:val="0029606A"/>
    <w:rsid w:val="003947EA"/>
    <w:rsid w:val="003A5EB0"/>
    <w:rsid w:val="004848F3"/>
    <w:rsid w:val="004A75F2"/>
    <w:rsid w:val="00506AF0"/>
    <w:rsid w:val="005144A9"/>
    <w:rsid w:val="00520165"/>
    <w:rsid w:val="0056368F"/>
    <w:rsid w:val="00577C3F"/>
    <w:rsid w:val="005B1B08"/>
    <w:rsid w:val="005D1350"/>
    <w:rsid w:val="00632C3C"/>
    <w:rsid w:val="00662BDB"/>
    <w:rsid w:val="006A5DF1"/>
    <w:rsid w:val="006B7198"/>
    <w:rsid w:val="006D4AB3"/>
    <w:rsid w:val="006F3B81"/>
    <w:rsid w:val="007C04EF"/>
    <w:rsid w:val="007D0F79"/>
    <w:rsid w:val="007D7198"/>
    <w:rsid w:val="00806B14"/>
    <w:rsid w:val="00870F9F"/>
    <w:rsid w:val="008804B6"/>
    <w:rsid w:val="00897AB0"/>
    <w:rsid w:val="008A3553"/>
    <w:rsid w:val="008E25E6"/>
    <w:rsid w:val="009003D1"/>
    <w:rsid w:val="00947A50"/>
    <w:rsid w:val="009C46ED"/>
    <w:rsid w:val="00A905AC"/>
    <w:rsid w:val="00B1255C"/>
    <w:rsid w:val="00B22FC5"/>
    <w:rsid w:val="00B84A4E"/>
    <w:rsid w:val="00BA6584"/>
    <w:rsid w:val="00BE7BFD"/>
    <w:rsid w:val="00BF3B63"/>
    <w:rsid w:val="00C370F2"/>
    <w:rsid w:val="00C44EEC"/>
    <w:rsid w:val="00D22FFA"/>
    <w:rsid w:val="00D72645"/>
    <w:rsid w:val="00D8461B"/>
    <w:rsid w:val="00D9049C"/>
    <w:rsid w:val="00D915F2"/>
    <w:rsid w:val="00DE6689"/>
    <w:rsid w:val="00DF32E8"/>
    <w:rsid w:val="00E21B49"/>
    <w:rsid w:val="00E2789F"/>
    <w:rsid w:val="00E72428"/>
    <w:rsid w:val="00EA14B3"/>
    <w:rsid w:val="00EA416E"/>
    <w:rsid w:val="00F3356A"/>
    <w:rsid w:val="00FC5957"/>
    <w:rsid w:val="00FD265E"/>
    <w:rsid w:val="00FD5540"/>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72645"/>
  </w:style>
  <w:style w:type="paragraph" w:styleId="Nagwek1">
    <w:name w:val="heading 1"/>
    <w:basedOn w:val="Normalny"/>
    <w:next w:val="Normalny"/>
    <w:link w:val="Nagwek1Znak"/>
    <w:qFormat/>
    <w:rsid w:val="00D72645"/>
    <w:pPr>
      <w:keepNext/>
      <w:spacing w:before="240" w:after="60"/>
      <w:outlineLvl w:val="0"/>
    </w:pPr>
    <w:rPr>
      <w:rFonts w:ascii="Arial" w:hAnsi="Arial"/>
      <w:b/>
      <w:kern w:val="28"/>
      <w:sz w:val="28"/>
    </w:rPr>
  </w:style>
  <w:style w:type="paragraph" w:styleId="Nagwek2">
    <w:name w:val="heading 2"/>
    <w:basedOn w:val="Normalny"/>
    <w:next w:val="Normalny"/>
    <w:qFormat/>
    <w:rsid w:val="00D72645"/>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D72645"/>
    <w:pPr>
      <w:tabs>
        <w:tab w:val="center" w:pos="4536"/>
        <w:tab w:val="right" w:pos="9072"/>
      </w:tabs>
    </w:pPr>
  </w:style>
  <w:style w:type="paragraph" w:styleId="Stopka">
    <w:name w:val="footer"/>
    <w:basedOn w:val="Normalny"/>
    <w:rsid w:val="00D72645"/>
    <w:pPr>
      <w:tabs>
        <w:tab w:val="center" w:pos="4536"/>
        <w:tab w:val="right" w:pos="9072"/>
      </w:tabs>
    </w:pPr>
  </w:style>
  <w:style w:type="character" w:styleId="Numerstrony">
    <w:name w:val="page number"/>
    <w:basedOn w:val="Domylnaczcionkaakapitu"/>
    <w:rsid w:val="00D72645"/>
  </w:style>
  <w:style w:type="paragraph" w:styleId="Tekstpodstawowywcity">
    <w:name w:val="Body Text Indent"/>
    <w:basedOn w:val="Normalny"/>
    <w:rsid w:val="00D72645"/>
    <w:pPr>
      <w:ind w:firstLine="426"/>
      <w:jc w:val="both"/>
    </w:pPr>
    <w:rPr>
      <w:sz w:val="24"/>
    </w:rPr>
  </w:style>
  <w:style w:type="paragraph" w:styleId="Tekstpodstawowywcity2">
    <w:name w:val="Body Text Indent 2"/>
    <w:basedOn w:val="Normalny"/>
    <w:rsid w:val="00D72645"/>
    <w:pPr>
      <w:ind w:firstLine="426"/>
    </w:pPr>
    <w:rPr>
      <w:sz w:val="24"/>
      <w:u w:val="single"/>
    </w:rPr>
  </w:style>
  <w:style w:type="paragraph" w:styleId="Tytu">
    <w:name w:val="Title"/>
    <w:basedOn w:val="Normalny"/>
    <w:qFormat/>
    <w:rsid w:val="00D72645"/>
    <w:pPr>
      <w:jc w:val="center"/>
      <w:outlineLvl w:val="0"/>
    </w:pPr>
    <w:rPr>
      <w:b/>
      <w:sz w:val="24"/>
    </w:rPr>
  </w:style>
  <w:style w:type="paragraph" w:styleId="Tekstpodstawowy">
    <w:name w:val="Body Text"/>
    <w:basedOn w:val="Normalny"/>
    <w:rsid w:val="00D72645"/>
    <w:rPr>
      <w:sz w:val="28"/>
    </w:rPr>
  </w:style>
  <w:style w:type="paragraph" w:styleId="Tekstpodstawowywcity3">
    <w:name w:val="Body Text Indent 3"/>
    <w:basedOn w:val="Normalny"/>
    <w:rsid w:val="00D72645"/>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3947EA"/>
    <w:rPr>
      <w:rFonts w:ascii="Arial" w:hAnsi="Arial"/>
      <w:b/>
      <w:kern w:val="28"/>
      <w:sz w:val="28"/>
    </w:rPr>
  </w:style>
  <w:style w:type="character" w:customStyle="1" w:styleId="NagwekZnak">
    <w:name w:val="Nagłówek Znak"/>
    <w:basedOn w:val="Domylnaczcionkaakapitu"/>
    <w:link w:val="Nagwek"/>
    <w:rsid w:val="003947EA"/>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789</Words>
  <Characters>5074</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rulbrich</cp:lastModifiedBy>
  <cp:revision>2</cp:revision>
  <cp:lastPrinted>2023-04-12T13:29:00Z</cp:lastPrinted>
  <dcterms:created xsi:type="dcterms:W3CDTF">2023-04-13T08:52:00Z</dcterms:created>
  <dcterms:modified xsi:type="dcterms:W3CDTF">2023-04-13T08:52:00Z</dcterms:modified>
</cp:coreProperties>
</file>