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26013" w14:textId="77777777" w:rsidR="007C40A7" w:rsidRDefault="007C40A7" w:rsidP="007C40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31ECB5BC" w14:textId="77777777" w:rsidR="007C40A7" w:rsidRDefault="007C40A7" w:rsidP="007C40A7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6104B873" w14:textId="0166AAD9" w:rsidR="007C40A7" w:rsidRDefault="007C40A7" w:rsidP="007C40A7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>
        <w:rPr>
          <w:rFonts w:ascii="Times New Roman" w:hAnsi="Times New Roman" w:cs="Times New Roman"/>
          <w:sz w:val="22"/>
          <w:szCs w:val="22"/>
          <w:u w:val="single"/>
        </w:rPr>
        <w:t>4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0D24F4BD" w14:textId="77777777" w:rsidR="007C40A7" w:rsidRDefault="007C40A7" w:rsidP="007C40A7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Eap.2412/8/24/M</w:t>
      </w:r>
    </w:p>
    <w:p w14:paraId="5DCDABC8" w14:textId="77777777" w:rsidR="007C40A7" w:rsidRDefault="007C40A7" w:rsidP="007C40A7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6440F8B" w14:textId="77777777" w:rsidR="007C40A7" w:rsidRDefault="007C40A7" w:rsidP="007C40A7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6C1512F2" w14:textId="6E1B618A" w:rsidR="007C40A7" w:rsidRDefault="007C40A7" w:rsidP="007C40A7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Zestawienie oferowanych warunków technicznych w Pakiecie </w:t>
      </w:r>
      <w:r>
        <w:rPr>
          <w:rFonts w:cs="Times New Roman"/>
          <w:b/>
          <w:bCs/>
          <w:sz w:val="22"/>
          <w:szCs w:val="22"/>
        </w:rPr>
        <w:t>4</w:t>
      </w:r>
    </w:p>
    <w:p w14:paraId="7F84CABE" w14:textId="77777777" w:rsidR="007C40A7" w:rsidRDefault="007C40A7" w:rsidP="007C40A7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2462CC8B" w14:textId="77777777" w:rsidR="007C40A7" w:rsidRDefault="007C40A7" w:rsidP="007C40A7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1807D609" w14:textId="38E7020E" w:rsidR="007C40A7" w:rsidRDefault="007C40A7" w:rsidP="007C40A7">
      <w:pPr>
        <w:pStyle w:val="Textbody"/>
        <w:rPr>
          <w:b/>
          <w:bCs/>
          <w:u w:val="single"/>
        </w:rPr>
      </w:pPr>
      <w:r w:rsidRPr="0004470D">
        <w:rPr>
          <w:b/>
          <w:bCs/>
          <w:u w:val="single"/>
        </w:rPr>
        <w:t>Pakiet 4 - Podłoża do hodowli drobnoustrojów z krwi, nasadek do przesiewania dodatnich hodowli drobnoustrojów oraz bezpiecznych systemów do pobierania próbek krwi na posiew wraz z dzierżawą analizatora do posiewu krwi.</w:t>
      </w:r>
    </w:p>
    <w:p w14:paraId="7FAACAAB" w14:textId="77777777" w:rsidR="007C40A7" w:rsidRDefault="007C40A7" w:rsidP="007C40A7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4114"/>
        <w:gridCol w:w="2268"/>
        <w:gridCol w:w="1997"/>
      </w:tblGrid>
      <w:tr w:rsidR="007C40A7" w14:paraId="3BD75606" w14:textId="77777777" w:rsidTr="003D32A3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2DF330" w14:textId="77777777" w:rsidR="007C40A7" w:rsidRDefault="007C40A7" w:rsidP="003D32A3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7C40A7" w14:paraId="53A45FFB" w14:textId="77777777" w:rsidTr="007C40A7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4F0BF8FF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195C4028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315F921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 oceniany (wype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 Wykonawca</w:t>
            </w:r>
          </w:p>
          <w:p w14:paraId="7D031C1C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B5A560E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</w:p>
        </w:tc>
      </w:tr>
      <w:tr w:rsidR="007C40A7" w14:paraId="6FDE4507" w14:textId="77777777" w:rsidTr="007C40A7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402F4A0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06F9329" w14:textId="0277E968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Hlk163815848"/>
            <w:r w:rsidRPr="008828DC">
              <w:rPr>
                <w:rFonts w:ascii="Times New Roman" w:hAnsi="Times New Roman"/>
                <w:b/>
                <w:bCs/>
              </w:rPr>
              <w:t>Możliwość preinkubacji butelek (po pobraniu krwi) poza aparatem w temperaturze pokojowej do 24 godzin, potwierdzona wpisem do oryginalnej instrukcji użytkowania</w:t>
            </w:r>
            <w:bookmarkEnd w:id="0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36D8175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21F69C" w14:textId="318CF1A8" w:rsidR="007C40A7" w:rsidRDefault="007C40A7" w:rsidP="003D32A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–    0 pkt.</w:t>
            </w:r>
          </w:p>
          <w:p w14:paraId="01D2C550" w14:textId="77777777" w:rsidR="007C40A7" w:rsidRDefault="007C40A7" w:rsidP="003D32A3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</w:p>
          <w:p w14:paraId="0B0C3F1F" w14:textId="5DD0161D" w:rsidR="007C40A7" w:rsidRDefault="007C40A7" w:rsidP="003D32A3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20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 pkt</w:t>
            </w:r>
          </w:p>
        </w:tc>
      </w:tr>
      <w:tr w:rsidR="007C40A7" w14:paraId="590D2280" w14:textId="77777777" w:rsidTr="007C40A7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56358CF" w14:textId="560C3864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0F52EA26" w14:textId="2529F798" w:rsidR="007C40A7" w:rsidRPr="009C5E5E" w:rsidRDefault="007C40A7" w:rsidP="003D32A3">
            <w:pPr>
              <w:spacing w:beforeAutospacing="1" w:after="142" w:line="288" w:lineRule="auto"/>
              <w:rPr>
                <w:rFonts w:ascii="Times New Roman" w:hAnsi="Times New Roman"/>
              </w:rPr>
            </w:pPr>
            <w:r w:rsidRPr="008828DC">
              <w:rPr>
                <w:rFonts w:ascii="Times New Roman" w:hAnsi="Times New Roman"/>
                <w:b/>
                <w:bCs/>
              </w:rPr>
              <w:t>Możliwość zintegrowania oferowanego analizatora do posiewów krwi z posiadanym przez Lab. Mikrobiologiczne SP ZOZ Kolbuszowa systemem do identyfikacji i oceny lekowrażliwości drobnoustrojów. (Możliwość kompleksowej analizy wyników oraz tworzenie raportów epidemiologicznych.)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AED6B53" w14:textId="77777777" w:rsidR="007C40A7" w:rsidRDefault="007C40A7" w:rsidP="003D32A3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7829D2" w14:textId="77777777" w:rsidR="007C40A7" w:rsidRDefault="007C40A7" w:rsidP="007C40A7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>NIE –    0 pkt.</w:t>
            </w:r>
          </w:p>
          <w:p w14:paraId="7DE93C85" w14:textId="77777777" w:rsidR="007C40A7" w:rsidRDefault="007C40A7" w:rsidP="007C40A7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</w:p>
          <w:p w14:paraId="013B3FD9" w14:textId="336AE1C2" w:rsidR="007C40A7" w:rsidRPr="009C5E5E" w:rsidRDefault="007C40A7" w:rsidP="007C40A7">
            <w:pPr>
              <w:spacing w:after="142" w:line="288" w:lineRule="auto"/>
              <w:rPr>
                <w:rFonts w:ascii="Times New Roman" w:eastAsia="Georgia" w:hAnsi="Times New Roman"/>
                <w:b/>
                <w:bCs/>
                <w:color w:val="000000"/>
              </w:rPr>
            </w:pPr>
            <w:r>
              <w:rPr>
                <w:rFonts w:ascii="Times New Roman" w:eastAsia="Georgia" w:hAnsi="Times New Roman"/>
                <w:b/>
                <w:bCs/>
                <w:color w:val="000000"/>
              </w:rPr>
              <w:t xml:space="preserve">TAK 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 xml:space="preserve">- </w:t>
            </w:r>
            <w:r>
              <w:rPr>
                <w:rFonts w:ascii="Times New Roman" w:eastAsia="Georgia" w:hAnsi="Times New Roman"/>
                <w:b/>
                <w:bCs/>
                <w:color w:val="000000"/>
              </w:rPr>
              <w:t>1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5 pkt</w:t>
            </w:r>
          </w:p>
        </w:tc>
      </w:tr>
    </w:tbl>
    <w:p w14:paraId="3D0B034C" w14:textId="77777777" w:rsidR="007C40A7" w:rsidRDefault="007C40A7" w:rsidP="007C40A7">
      <w:pPr>
        <w:rPr>
          <w:rFonts w:ascii="Times New Roman" w:hAnsi="Times New Roman" w:cs="Times New Roman"/>
          <w:sz w:val="22"/>
          <w:szCs w:val="22"/>
        </w:rPr>
      </w:pPr>
    </w:p>
    <w:p w14:paraId="6A8A47DC" w14:textId="77777777" w:rsidR="007C40A7" w:rsidRDefault="007C40A7" w:rsidP="007C40A7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55F3A72D" w14:textId="77777777" w:rsidR="007C40A7" w:rsidRDefault="007C40A7" w:rsidP="007C40A7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7F614488" w14:textId="77777777" w:rsidR="007C40A7" w:rsidRDefault="007C40A7" w:rsidP="007C40A7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518F17C8" w14:textId="77777777" w:rsidR="007C40A7" w:rsidRDefault="007C40A7" w:rsidP="007C40A7">
      <w:pPr>
        <w:rPr>
          <w:rFonts w:ascii="Times New Roman" w:hAnsi="Times New Roman" w:cs="Times New Roman"/>
          <w:sz w:val="22"/>
          <w:szCs w:val="22"/>
        </w:rPr>
      </w:pPr>
    </w:p>
    <w:p w14:paraId="2B7EAF30" w14:textId="77777777" w:rsidR="007C40A7" w:rsidRDefault="007C40A7" w:rsidP="007C40A7">
      <w:pPr>
        <w:rPr>
          <w:rFonts w:ascii="Times New Roman" w:hAnsi="Times New Roman" w:cs="Times New Roman"/>
          <w:sz w:val="22"/>
          <w:szCs w:val="22"/>
        </w:rPr>
      </w:pPr>
    </w:p>
    <w:p w14:paraId="36139DAE" w14:textId="77777777" w:rsidR="007C40A7" w:rsidRDefault="007C40A7" w:rsidP="007C40A7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2994DC80" w14:textId="77777777" w:rsidR="007C40A7" w:rsidRDefault="007C40A7" w:rsidP="007C40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46E7B441" w14:textId="672C8BB6" w:rsidR="00BC20D3" w:rsidRDefault="007C40A7" w:rsidP="007C40A7"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do reprezentowania </w:t>
      </w:r>
      <w:r>
        <w:rPr>
          <w:rFonts w:ascii="Times New Roman" w:hAnsi="Times New Roman" w:cs="Times New Roman"/>
          <w:sz w:val="22"/>
          <w:szCs w:val="22"/>
        </w:rPr>
        <w:t>W</w:t>
      </w:r>
      <w:r>
        <w:rPr>
          <w:rFonts w:ascii="Times New Roman" w:hAnsi="Times New Roman" w:cs="Times New Roman"/>
          <w:sz w:val="22"/>
          <w:szCs w:val="22"/>
        </w:rPr>
        <w:t>ykonawcy</w:t>
      </w:r>
    </w:p>
    <w:sectPr w:rsidR="00BC20D3" w:rsidSect="007C40A7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0A7"/>
    <w:rsid w:val="000E33A5"/>
    <w:rsid w:val="007C40A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9FC29"/>
  <w15:chartTrackingRefBased/>
  <w15:docId w15:val="{6E0728C2-3726-4A91-A2BB-0EEBC6C97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0A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40A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qFormat/>
    <w:rsid w:val="007C40A7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7C40A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2024-04-17T07:52:00Z</dcterms:created>
  <dcterms:modified xsi:type="dcterms:W3CDTF">2024-04-17T07:59:00Z</dcterms:modified>
</cp:coreProperties>
</file>