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5089D" w14:textId="77777777" w:rsidR="009C3702" w:rsidRPr="00DA0FE0" w:rsidRDefault="009C3702" w:rsidP="009C3702">
      <w:pPr>
        <w:rPr>
          <w:b/>
          <w:bCs/>
          <w:sz w:val="22"/>
          <w:szCs w:val="22"/>
        </w:rPr>
      </w:pPr>
      <w:r w:rsidRPr="00DA0FE0">
        <w:rPr>
          <w:bCs/>
          <w:sz w:val="22"/>
          <w:szCs w:val="22"/>
        </w:rPr>
        <w:t>/pieczątka Wykonawcy /</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Zał.5.2.</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 xml:space="preserve">Eap-2412/5/25/M </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 xml:space="preserve"> </w:t>
      </w:r>
    </w:p>
    <w:p w14:paraId="3C883698" w14:textId="77777777" w:rsidR="009C3702" w:rsidRPr="00DA0FE0" w:rsidRDefault="009C3702" w:rsidP="009C3702">
      <w:pPr>
        <w:rPr>
          <w:b/>
          <w:bCs/>
        </w:rPr>
      </w:pPr>
      <w:r w:rsidRPr="00DA0FE0">
        <w:rPr>
          <w:b/>
          <w:bCs/>
          <w:sz w:val="22"/>
          <w:szCs w:val="22"/>
        </w:rPr>
        <w:t xml:space="preserve"> </w:t>
      </w:r>
      <w:r w:rsidRPr="00DA0FE0">
        <w:rPr>
          <w:b/>
          <w:bCs/>
          <w:sz w:val="22"/>
          <w:szCs w:val="22"/>
        </w:rPr>
        <w:tab/>
      </w:r>
      <w:r w:rsidRPr="00DA0FE0">
        <w:rPr>
          <w:b/>
          <w:bCs/>
          <w:sz w:val="22"/>
          <w:szCs w:val="22"/>
        </w:rPr>
        <w:tab/>
      </w:r>
      <w:r w:rsidRPr="00DA0FE0">
        <w:rPr>
          <w:b/>
          <w:bCs/>
          <w:sz w:val="22"/>
          <w:szCs w:val="22"/>
        </w:rPr>
        <w:tab/>
        <w:t xml:space="preserve">            </w:t>
      </w:r>
      <w:r w:rsidRPr="00DA0FE0">
        <w:rPr>
          <w:b/>
          <w:bCs/>
        </w:rPr>
        <w:t xml:space="preserve">Parametry graniczne analizatora </w:t>
      </w:r>
    </w:p>
    <w:p w14:paraId="50A32A9A" w14:textId="77777777" w:rsidR="009C3702" w:rsidRPr="00DA0FE0" w:rsidRDefault="009C3702" w:rsidP="009C3702">
      <w:pPr>
        <w:rPr>
          <w:b/>
          <w:bCs/>
          <w:i/>
          <w:sz w:val="22"/>
          <w:szCs w:val="22"/>
          <w:u w:val="single"/>
        </w:rPr>
      </w:pPr>
    </w:p>
    <w:p w14:paraId="1EA6376E" w14:textId="77777777" w:rsidR="009C3702" w:rsidRPr="00DA0FE0" w:rsidRDefault="009C3702" w:rsidP="009C3702">
      <w:pPr>
        <w:rPr>
          <w:b/>
          <w:sz w:val="22"/>
          <w:szCs w:val="22"/>
          <w:shd w:val="clear" w:color="auto" w:fill="FEFFFF"/>
          <w:lang w:bidi="he-IL"/>
        </w:rPr>
      </w:pPr>
      <w:r w:rsidRPr="00DA0FE0">
        <w:rPr>
          <w:b/>
          <w:sz w:val="22"/>
          <w:szCs w:val="22"/>
          <w:shd w:val="clear" w:color="auto" w:fill="FEFFFF"/>
          <w:lang w:bidi="he-IL"/>
        </w:rPr>
        <w:t xml:space="preserve">                          </w:t>
      </w:r>
      <w:bookmarkStart w:id="0" w:name="_Hlk96595269"/>
      <w:r w:rsidRPr="00DA0FE0">
        <w:rPr>
          <w:b/>
          <w:sz w:val="22"/>
          <w:szCs w:val="22"/>
          <w:u w:val="single"/>
        </w:rPr>
        <w:t xml:space="preserve">Pakiet 2 – Dostawa odczynników, kalibratorów i kontroli jakości  </w:t>
      </w:r>
      <w:r w:rsidRPr="00DA0FE0">
        <w:rPr>
          <w:b/>
          <w:sz w:val="22"/>
          <w:szCs w:val="22"/>
          <w:u w:val="single"/>
          <w:lang w:eastAsia="pl-PL"/>
        </w:rPr>
        <w:t xml:space="preserve">wraz z dzierżawą  </w:t>
      </w:r>
      <w:bookmarkEnd w:id="0"/>
      <w:r w:rsidRPr="00DA0FE0">
        <w:rPr>
          <w:b/>
          <w:sz w:val="22"/>
          <w:szCs w:val="22"/>
          <w:u w:val="single"/>
          <w:lang w:eastAsia="pl-PL"/>
        </w:rPr>
        <w:t>analizatorów do hematologii</w:t>
      </w:r>
      <w:r w:rsidRPr="00DA0FE0">
        <w:rPr>
          <w:b/>
          <w:sz w:val="22"/>
          <w:szCs w:val="22"/>
          <w:shd w:val="clear" w:color="auto" w:fill="FEFFFF"/>
          <w:lang w:bidi="he-IL"/>
        </w:rPr>
        <w:t xml:space="preserve">                     </w:t>
      </w:r>
    </w:p>
    <w:p w14:paraId="69A9367F" w14:textId="77777777" w:rsidR="009C3702" w:rsidRPr="00DA0FE0" w:rsidRDefault="009C3702" w:rsidP="009C3702">
      <w:pPr>
        <w:rPr>
          <w:b/>
          <w:bCs/>
          <w:i/>
          <w:sz w:val="22"/>
          <w:szCs w:val="22"/>
          <w:u w:val="single"/>
        </w:rPr>
      </w:pPr>
    </w:p>
    <w:p w14:paraId="1B9CA78A" w14:textId="77777777" w:rsidR="009C3702" w:rsidRPr="00DA0FE0" w:rsidRDefault="009C3702" w:rsidP="009C3702">
      <w:pPr>
        <w:rPr>
          <w:b/>
          <w:bCs/>
          <w:sz w:val="22"/>
          <w:szCs w:val="22"/>
        </w:rPr>
      </w:pPr>
      <w:r w:rsidRPr="00DA0FE0">
        <w:rPr>
          <w:b/>
          <w:bCs/>
          <w:sz w:val="22"/>
          <w:szCs w:val="22"/>
        </w:rPr>
        <w:t>Zestawienie parametrów granicznych  Analizatora 1</w:t>
      </w:r>
    </w:p>
    <w:p w14:paraId="63D42735" w14:textId="77777777" w:rsidR="009C3702" w:rsidRPr="00DA0FE0" w:rsidRDefault="009C3702" w:rsidP="009C3702">
      <w:pPr>
        <w:pStyle w:val="Nagwek2"/>
        <w:tabs>
          <w:tab w:val="left" w:pos="0"/>
        </w:tabs>
        <w:rPr>
          <w:rFonts w:ascii="Times New Roman" w:hAnsi="Times New Roman"/>
          <w:sz w:val="22"/>
          <w:szCs w:val="22"/>
        </w:rPr>
      </w:pPr>
      <w:r w:rsidRPr="00DA0FE0">
        <w:rPr>
          <w:rFonts w:ascii="Times New Roman" w:hAnsi="Times New Roman"/>
          <w:sz w:val="22"/>
          <w:szCs w:val="22"/>
        </w:rPr>
        <w:t>Producent/Firma: ……………………………………</w:t>
      </w:r>
    </w:p>
    <w:p w14:paraId="5CF1006E" w14:textId="77777777" w:rsidR="009C3702" w:rsidRPr="00DA0FE0" w:rsidRDefault="009C3702" w:rsidP="009C3702">
      <w:pPr>
        <w:rPr>
          <w:sz w:val="22"/>
          <w:szCs w:val="22"/>
        </w:rPr>
      </w:pPr>
      <w:r w:rsidRPr="00DA0FE0">
        <w:rPr>
          <w:sz w:val="22"/>
          <w:szCs w:val="22"/>
        </w:rPr>
        <w:t>Urządzenie/Typ: ...........................................................</w:t>
      </w:r>
    </w:p>
    <w:p w14:paraId="24AA768C" w14:textId="77777777" w:rsidR="009C3702" w:rsidRPr="00DA0FE0" w:rsidRDefault="009C3702" w:rsidP="009C3702">
      <w:pPr>
        <w:rPr>
          <w:sz w:val="22"/>
          <w:szCs w:val="22"/>
        </w:rPr>
      </w:pPr>
    </w:p>
    <w:p w14:paraId="3A9292A1" w14:textId="77777777" w:rsidR="009C3702" w:rsidRPr="00DA0FE0" w:rsidRDefault="009C3702" w:rsidP="009C3702">
      <w:pPr>
        <w:rPr>
          <w:b/>
          <w:bCs/>
          <w:sz w:val="22"/>
          <w:szCs w:val="22"/>
        </w:rPr>
      </w:pPr>
      <w:r w:rsidRPr="00DA0FE0">
        <w:rPr>
          <w:b/>
          <w:bCs/>
          <w:sz w:val="22"/>
          <w:szCs w:val="22"/>
        </w:rPr>
        <w:t>Zestawienie parametrów granicznych  Analizatora 2</w:t>
      </w:r>
    </w:p>
    <w:p w14:paraId="2410060D" w14:textId="77777777" w:rsidR="009C3702" w:rsidRPr="00DA0FE0" w:rsidRDefault="009C3702" w:rsidP="009C3702">
      <w:pPr>
        <w:pStyle w:val="Nagwek2"/>
        <w:tabs>
          <w:tab w:val="left" w:pos="0"/>
        </w:tabs>
        <w:rPr>
          <w:rFonts w:ascii="Times New Roman" w:hAnsi="Times New Roman"/>
          <w:sz w:val="22"/>
          <w:szCs w:val="22"/>
        </w:rPr>
      </w:pPr>
      <w:r w:rsidRPr="00DA0FE0">
        <w:rPr>
          <w:rFonts w:ascii="Times New Roman" w:hAnsi="Times New Roman"/>
          <w:sz w:val="22"/>
          <w:szCs w:val="22"/>
        </w:rPr>
        <w:t>Producent/Firma: ……………………………………</w:t>
      </w:r>
    </w:p>
    <w:p w14:paraId="15C4F937" w14:textId="77777777" w:rsidR="009C3702" w:rsidRPr="00DA0FE0" w:rsidRDefault="009C3702" w:rsidP="009C3702">
      <w:pPr>
        <w:rPr>
          <w:sz w:val="22"/>
          <w:szCs w:val="22"/>
        </w:rPr>
      </w:pPr>
      <w:r w:rsidRPr="00DA0FE0">
        <w:rPr>
          <w:sz w:val="22"/>
          <w:szCs w:val="22"/>
        </w:rPr>
        <w:t>Urządzenie/Typ: ...........................................................</w:t>
      </w:r>
    </w:p>
    <w:p w14:paraId="40997A50" w14:textId="77777777" w:rsidR="009C3702" w:rsidRPr="00DA0FE0" w:rsidRDefault="009C3702" w:rsidP="009C3702">
      <w:pPr>
        <w:rPr>
          <w:sz w:val="22"/>
          <w:szCs w:val="22"/>
        </w:rPr>
      </w:pPr>
    </w:p>
    <w:p w14:paraId="5AF625E7" w14:textId="77777777" w:rsidR="009C3702" w:rsidRPr="00DA0FE0" w:rsidRDefault="009C3702" w:rsidP="009C3702">
      <w:pPr>
        <w:pStyle w:val="Standard"/>
        <w:rPr>
          <w:rFonts w:ascii="Times New Roman" w:eastAsia="Times New Roman" w:hAnsi="Times New Roman" w:cs="Times New Roman"/>
          <w:b/>
        </w:rPr>
      </w:pPr>
      <w:r w:rsidRPr="00DA0FE0">
        <w:rPr>
          <w:rFonts w:ascii="Times New Roman" w:eastAsia="Times New Roman" w:hAnsi="Times New Roman" w:cs="Times New Roman"/>
          <w:b/>
        </w:rPr>
        <w:t>Zestawienie parametrów granicznych dla analizatorów i odczynników: dwa analizatory hematologiczne o parametrach:</w:t>
      </w:r>
    </w:p>
    <w:p w14:paraId="3018FCC4" w14:textId="77777777" w:rsidR="009C3702" w:rsidRPr="00DA0FE0" w:rsidRDefault="009C3702" w:rsidP="009C3702">
      <w:pPr>
        <w:pStyle w:val="Standard"/>
        <w:rPr>
          <w:rFonts w:ascii="Times New Roman" w:eastAsia="Times New Roman" w:hAnsi="Times New Roman" w:cs="Times New Roman"/>
          <w:b/>
        </w:rPr>
      </w:pPr>
    </w:p>
    <w:tbl>
      <w:tblPr>
        <w:tblW w:w="9192" w:type="dxa"/>
        <w:tblInd w:w="-64" w:type="dxa"/>
        <w:tblLayout w:type="fixed"/>
        <w:tblCellMar>
          <w:left w:w="40" w:type="dxa"/>
          <w:right w:w="40" w:type="dxa"/>
        </w:tblCellMar>
        <w:tblLook w:val="04A0" w:firstRow="1" w:lastRow="0" w:firstColumn="1" w:lastColumn="0" w:noHBand="0" w:noVBand="1"/>
      </w:tblPr>
      <w:tblGrid>
        <w:gridCol w:w="680"/>
        <w:gridCol w:w="5236"/>
        <w:gridCol w:w="1293"/>
        <w:gridCol w:w="1983"/>
      </w:tblGrid>
      <w:tr w:rsidR="009C3702" w:rsidRPr="00DA0FE0" w14:paraId="27E09080" w14:textId="77777777" w:rsidTr="001E6F24">
        <w:trPr>
          <w:cantSplit/>
        </w:trPr>
        <w:tc>
          <w:tcPr>
            <w:tcW w:w="680" w:type="dxa"/>
            <w:tcBorders>
              <w:top w:val="single" w:sz="6" w:space="0" w:color="000000"/>
              <w:left w:val="single" w:sz="6" w:space="0" w:color="000000"/>
              <w:bottom w:val="single" w:sz="6" w:space="0" w:color="000000"/>
            </w:tcBorders>
            <w:shd w:val="clear" w:color="auto" w:fill="FFFFFF"/>
            <w:vAlign w:val="center"/>
          </w:tcPr>
          <w:p w14:paraId="49A5A99E" w14:textId="77777777" w:rsidR="009C3702" w:rsidRPr="00DA0FE0" w:rsidRDefault="009C3702" w:rsidP="001E6F24">
            <w:pPr>
              <w:jc w:val="center"/>
              <w:rPr>
                <w:rFonts w:cs="Calibri"/>
                <w:b/>
              </w:rPr>
            </w:pPr>
            <w:r w:rsidRPr="00DA0FE0">
              <w:rPr>
                <w:rFonts w:cs="Calibri"/>
                <w:b/>
              </w:rPr>
              <w:t>Lp.</w:t>
            </w:r>
          </w:p>
        </w:tc>
        <w:tc>
          <w:tcPr>
            <w:tcW w:w="5236" w:type="dxa"/>
            <w:tcBorders>
              <w:top w:val="single" w:sz="6" w:space="0" w:color="000000"/>
              <w:left w:val="single" w:sz="6" w:space="0" w:color="000000"/>
              <w:bottom w:val="single" w:sz="6" w:space="0" w:color="000000"/>
            </w:tcBorders>
            <w:shd w:val="clear" w:color="auto" w:fill="FFFFFF"/>
            <w:vAlign w:val="center"/>
          </w:tcPr>
          <w:p w14:paraId="7368F800" w14:textId="77777777" w:rsidR="009C3702" w:rsidRPr="00DA0FE0" w:rsidRDefault="009C3702" w:rsidP="001E6F24">
            <w:pPr>
              <w:jc w:val="center"/>
              <w:rPr>
                <w:rFonts w:cs="Calibri"/>
                <w:b/>
              </w:rPr>
            </w:pPr>
            <w:r w:rsidRPr="00DA0FE0">
              <w:rPr>
                <w:rFonts w:cs="Calibri"/>
                <w:b/>
              </w:rPr>
              <w:t>Parametry</w:t>
            </w:r>
          </w:p>
        </w:tc>
        <w:tc>
          <w:tcPr>
            <w:tcW w:w="1293" w:type="dxa"/>
            <w:tcBorders>
              <w:top w:val="single" w:sz="6" w:space="0" w:color="000000"/>
              <w:left w:val="single" w:sz="6" w:space="0" w:color="000000"/>
              <w:bottom w:val="single" w:sz="6" w:space="0" w:color="000000"/>
            </w:tcBorders>
            <w:shd w:val="clear" w:color="auto" w:fill="FFFFFF"/>
            <w:vAlign w:val="center"/>
          </w:tcPr>
          <w:p w14:paraId="1CFEFD88" w14:textId="77777777" w:rsidR="009C3702" w:rsidRPr="00DA0FE0" w:rsidRDefault="009C3702" w:rsidP="001E6F24">
            <w:pPr>
              <w:jc w:val="center"/>
              <w:rPr>
                <w:rFonts w:cs="Calibri"/>
                <w:b/>
              </w:rPr>
            </w:pPr>
            <w:r w:rsidRPr="00DA0FE0">
              <w:rPr>
                <w:rFonts w:cs="Calibri"/>
                <w:b/>
              </w:rPr>
              <w:t>Parametr wymagany</w:t>
            </w:r>
          </w:p>
        </w:tc>
        <w:tc>
          <w:tcPr>
            <w:tcW w:w="19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5102AD" w14:textId="77777777" w:rsidR="009C3702" w:rsidRPr="00DA0FE0" w:rsidRDefault="009C3702" w:rsidP="001E6F24">
            <w:pPr>
              <w:jc w:val="center"/>
              <w:rPr>
                <w:rFonts w:cs="Calibri"/>
                <w:b/>
              </w:rPr>
            </w:pPr>
            <w:r w:rsidRPr="00DA0FE0">
              <w:rPr>
                <w:rFonts w:cs="Calibri"/>
                <w:b/>
              </w:rPr>
              <w:t>Należy uzupełnić wpisując „TAK” lub „NIE” (Niespełnienie parametrów spowoduje odrzucenie oferty)</w:t>
            </w:r>
          </w:p>
        </w:tc>
      </w:tr>
      <w:tr w:rsidR="009C3702" w:rsidRPr="00DA0FE0" w14:paraId="646BFFB8" w14:textId="77777777" w:rsidTr="001E6F24">
        <w:trPr>
          <w:cantSplit/>
        </w:trPr>
        <w:tc>
          <w:tcPr>
            <w:tcW w:w="680" w:type="dxa"/>
            <w:tcBorders>
              <w:top w:val="single" w:sz="6" w:space="0" w:color="000000"/>
              <w:left w:val="single" w:sz="6" w:space="0" w:color="000000"/>
              <w:bottom w:val="single" w:sz="6" w:space="0" w:color="000000"/>
            </w:tcBorders>
            <w:shd w:val="clear" w:color="auto" w:fill="AEAAAA"/>
            <w:vAlign w:val="center"/>
          </w:tcPr>
          <w:p w14:paraId="6D143678" w14:textId="77777777" w:rsidR="009C3702" w:rsidRPr="00DA0FE0" w:rsidRDefault="009C3702" w:rsidP="001E6F24">
            <w:pPr>
              <w:rPr>
                <w:rFonts w:cs="Calibri"/>
                <w:b/>
              </w:rPr>
            </w:pPr>
            <w:r w:rsidRPr="00DA0FE0">
              <w:rPr>
                <w:rFonts w:cs="Calibri"/>
                <w:b/>
              </w:rPr>
              <w:t>I.</w:t>
            </w:r>
          </w:p>
        </w:tc>
        <w:tc>
          <w:tcPr>
            <w:tcW w:w="5236" w:type="dxa"/>
            <w:tcBorders>
              <w:top w:val="single" w:sz="6" w:space="0" w:color="000000"/>
              <w:left w:val="single" w:sz="6" w:space="0" w:color="000000"/>
              <w:bottom w:val="single" w:sz="6" w:space="0" w:color="000000"/>
            </w:tcBorders>
            <w:shd w:val="clear" w:color="auto" w:fill="AEAAAA"/>
            <w:vAlign w:val="center"/>
          </w:tcPr>
          <w:p w14:paraId="3B7A8DBC" w14:textId="77777777" w:rsidR="009C3702" w:rsidRPr="00DA0FE0" w:rsidRDefault="009C3702" w:rsidP="001E6F24">
            <w:pPr>
              <w:rPr>
                <w:rFonts w:cs="Calibri"/>
                <w:b/>
              </w:rPr>
            </w:pPr>
            <w:r w:rsidRPr="00DA0FE0">
              <w:rPr>
                <w:rFonts w:cs="Calibri"/>
                <w:b/>
              </w:rPr>
              <w:t>Informacje ogólne</w:t>
            </w:r>
          </w:p>
        </w:tc>
        <w:tc>
          <w:tcPr>
            <w:tcW w:w="1293" w:type="dxa"/>
            <w:tcBorders>
              <w:top w:val="single" w:sz="6" w:space="0" w:color="000000"/>
              <w:left w:val="single" w:sz="6" w:space="0" w:color="000000"/>
              <w:bottom w:val="single" w:sz="6" w:space="0" w:color="000000"/>
            </w:tcBorders>
            <w:shd w:val="clear" w:color="auto" w:fill="AEAAAA"/>
            <w:vAlign w:val="center"/>
          </w:tcPr>
          <w:p w14:paraId="679C2DC0" w14:textId="77777777" w:rsidR="009C3702" w:rsidRPr="00DA0FE0" w:rsidRDefault="009C3702" w:rsidP="001E6F24">
            <w:pPr>
              <w:rPr>
                <w:rFonts w:cs="Calibri"/>
                <w:b/>
              </w:rPr>
            </w:pPr>
          </w:p>
        </w:tc>
        <w:tc>
          <w:tcPr>
            <w:tcW w:w="1983" w:type="dxa"/>
            <w:tcBorders>
              <w:top w:val="single" w:sz="6" w:space="0" w:color="000000"/>
              <w:left w:val="single" w:sz="6" w:space="0" w:color="000000"/>
              <w:bottom w:val="single" w:sz="6" w:space="0" w:color="000000"/>
              <w:right w:val="single" w:sz="6" w:space="0" w:color="000000"/>
            </w:tcBorders>
            <w:shd w:val="clear" w:color="auto" w:fill="AEAAAA"/>
            <w:vAlign w:val="center"/>
          </w:tcPr>
          <w:p w14:paraId="6D941163" w14:textId="77777777" w:rsidR="009C3702" w:rsidRPr="00DA0FE0" w:rsidRDefault="009C3702" w:rsidP="001E6F24">
            <w:pPr>
              <w:rPr>
                <w:rFonts w:cs="Calibri"/>
                <w:b/>
              </w:rPr>
            </w:pPr>
          </w:p>
        </w:tc>
      </w:tr>
      <w:tr w:rsidR="009C3702" w:rsidRPr="00DA0FE0" w14:paraId="3E29497D" w14:textId="77777777" w:rsidTr="001E6F24">
        <w:tc>
          <w:tcPr>
            <w:tcW w:w="680" w:type="dxa"/>
            <w:tcBorders>
              <w:left w:val="single" w:sz="6" w:space="0" w:color="000000"/>
              <w:bottom w:val="single" w:sz="6" w:space="0" w:color="000000"/>
            </w:tcBorders>
          </w:tcPr>
          <w:p w14:paraId="1E3E2052" w14:textId="77777777" w:rsidR="009C3702" w:rsidRPr="00DA0FE0" w:rsidRDefault="009C3702" w:rsidP="001E6F24">
            <w:pPr>
              <w:tabs>
                <w:tab w:val="left" w:pos="360"/>
              </w:tabs>
              <w:ind w:left="360"/>
              <w:rPr>
                <w:rFonts w:cs="Calibri"/>
              </w:rPr>
            </w:pPr>
            <w:r w:rsidRPr="00DA0FE0">
              <w:rPr>
                <w:rFonts w:cs="Calibri"/>
              </w:rPr>
              <w:t>1.</w:t>
            </w:r>
          </w:p>
        </w:tc>
        <w:tc>
          <w:tcPr>
            <w:tcW w:w="5236" w:type="dxa"/>
            <w:tcBorders>
              <w:left w:val="single" w:sz="6" w:space="0" w:color="000000"/>
              <w:bottom w:val="single" w:sz="6" w:space="0" w:color="000000"/>
            </w:tcBorders>
          </w:tcPr>
          <w:p w14:paraId="506AA189" w14:textId="622FEA37" w:rsidR="009C3702" w:rsidRPr="00DA0FE0" w:rsidRDefault="009C3702" w:rsidP="001E6F24">
            <w:pPr>
              <w:pStyle w:val="Style10"/>
              <w:jc w:val="left"/>
              <w:rPr>
                <w:rFonts w:ascii="Calibri" w:hAnsi="Calibri" w:cs="Calibri"/>
              </w:rPr>
            </w:pPr>
            <w:r w:rsidRPr="00DA0FE0">
              <w:rPr>
                <w:rFonts w:ascii="Calibri" w:hAnsi="Calibri" w:cs="Calibri"/>
              </w:rPr>
              <w:t xml:space="preserve">Jeden analizator fabrycznie nowy, drugi analizator nie </w:t>
            </w:r>
            <w:r w:rsidRPr="00550A7A">
              <w:rPr>
                <w:rFonts w:ascii="Calibri" w:hAnsi="Calibri" w:cs="Calibri"/>
                <w:color w:val="FF0000"/>
              </w:rPr>
              <w:t>starszy niż 20</w:t>
            </w:r>
            <w:r w:rsidR="00550A7A" w:rsidRPr="00550A7A">
              <w:rPr>
                <w:rFonts w:ascii="Calibri" w:hAnsi="Calibri" w:cs="Calibri"/>
                <w:color w:val="FF0000"/>
              </w:rPr>
              <w:t>18</w:t>
            </w:r>
            <w:r w:rsidRPr="00550A7A">
              <w:rPr>
                <w:rFonts w:ascii="Calibri" w:hAnsi="Calibri" w:cs="Calibri"/>
                <w:color w:val="FF0000"/>
              </w:rPr>
              <w:t>r</w:t>
            </w:r>
            <w:r w:rsidRPr="00DA0FE0">
              <w:rPr>
                <w:rFonts w:ascii="Calibri" w:hAnsi="Calibri" w:cs="Calibri"/>
              </w:rPr>
              <w:t>.</w:t>
            </w:r>
          </w:p>
        </w:tc>
        <w:tc>
          <w:tcPr>
            <w:tcW w:w="1293" w:type="dxa"/>
            <w:tcBorders>
              <w:left w:val="single" w:sz="6" w:space="0" w:color="000000"/>
              <w:bottom w:val="single" w:sz="6" w:space="0" w:color="000000"/>
            </w:tcBorders>
          </w:tcPr>
          <w:p w14:paraId="25C3E401" w14:textId="77777777" w:rsidR="009C3702" w:rsidRPr="00DA0FE0" w:rsidRDefault="009C3702" w:rsidP="001E6F24">
            <w:pPr>
              <w:jc w:val="center"/>
              <w:rPr>
                <w:rFonts w:cs="Calibri"/>
              </w:rPr>
            </w:pPr>
            <w:r w:rsidRPr="00DA0FE0">
              <w:rPr>
                <w:rFonts w:cs="Calibri"/>
              </w:rPr>
              <w:t>TAK</w:t>
            </w:r>
          </w:p>
        </w:tc>
        <w:tc>
          <w:tcPr>
            <w:tcW w:w="1983" w:type="dxa"/>
            <w:tcBorders>
              <w:left w:val="single" w:sz="6" w:space="0" w:color="000000"/>
              <w:bottom w:val="single" w:sz="6" w:space="0" w:color="000000"/>
              <w:right w:val="single" w:sz="6" w:space="0" w:color="000000"/>
            </w:tcBorders>
          </w:tcPr>
          <w:p w14:paraId="670ECF08" w14:textId="77777777" w:rsidR="009C3702" w:rsidRPr="00DA0FE0" w:rsidRDefault="009C3702" w:rsidP="001E6F24">
            <w:pPr>
              <w:jc w:val="center"/>
              <w:rPr>
                <w:rFonts w:cs="Calibri"/>
              </w:rPr>
            </w:pPr>
          </w:p>
        </w:tc>
      </w:tr>
      <w:tr w:rsidR="009C3702" w:rsidRPr="00DA0FE0" w14:paraId="4B1C36BE" w14:textId="77777777" w:rsidTr="001E6F24">
        <w:trPr>
          <w:trHeight w:val="443"/>
        </w:trPr>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50F5033F" w14:textId="77777777" w:rsidR="009C3702" w:rsidRPr="00DA0FE0" w:rsidRDefault="009C3702" w:rsidP="001E6F24">
            <w:pPr>
              <w:tabs>
                <w:tab w:val="left" w:pos="360"/>
              </w:tabs>
              <w:ind w:left="360"/>
              <w:rPr>
                <w:rFonts w:cs="Calibri"/>
              </w:rPr>
            </w:pPr>
            <w:r w:rsidRPr="00DA0FE0">
              <w:rPr>
                <w:rFonts w:cs="Calibri"/>
              </w:rPr>
              <w:t>2.</w:t>
            </w:r>
          </w:p>
        </w:tc>
        <w:tc>
          <w:tcPr>
            <w:tcW w:w="5236" w:type="dxa"/>
            <w:tcBorders>
              <w:top w:val="single" w:sz="4" w:space="0" w:color="836967"/>
              <w:left w:val="single" w:sz="4" w:space="0" w:color="836967"/>
              <w:bottom w:val="single" w:sz="4" w:space="0" w:color="836967"/>
            </w:tcBorders>
            <w:tcMar>
              <w:left w:w="70" w:type="dxa"/>
              <w:right w:w="70" w:type="dxa"/>
            </w:tcMar>
          </w:tcPr>
          <w:p w14:paraId="628A62A0" w14:textId="77777777" w:rsidR="009C3702" w:rsidRPr="00DA0FE0" w:rsidRDefault="009C3702" w:rsidP="001E6F24">
            <w:pPr>
              <w:pStyle w:val="Style10"/>
              <w:jc w:val="left"/>
              <w:rPr>
                <w:rFonts w:ascii="Calibri" w:hAnsi="Calibri" w:cs="Calibri"/>
              </w:rPr>
            </w:pPr>
            <w:r w:rsidRPr="00DA0FE0">
              <w:rPr>
                <w:rFonts w:ascii="Calibri" w:hAnsi="Calibri" w:cs="Calibri"/>
              </w:rPr>
              <w:t>Model/Typ/Producent/Rok produkcji</w:t>
            </w:r>
          </w:p>
        </w:tc>
        <w:tc>
          <w:tcPr>
            <w:tcW w:w="1293" w:type="dxa"/>
            <w:tcBorders>
              <w:left w:val="single" w:sz="4" w:space="0" w:color="836967"/>
              <w:bottom w:val="single" w:sz="4" w:space="0" w:color="836967"/>
            </w:tcBorders>
            <w:tcMar>
              <w:left w:w="70" w:type="dxa"/>
              <w:right w:w="70" w:type="dxa"/>
            </w:tcMar>
          </w:tcPr>
          <w:p w14:paraId="71F66CB0" w14:textId="77777777" w:rsidR="009C3702" w:rsidRPr="00DA0FE0" w:rsidRDefault="009C3702" w:rsidP="001E6F24">
            <w:pPr>
              <w:jc w:val="center"/>
              <w:rPr>
                <w:rFonts w:cs="Calibri"/>
              </w:rPr>
            </w:pPr>
            <w:r w:rsidRPr="00DA0FE0">
              <w:rPr>
                <w:rFonts w:cs="Calibri"/>
              </w:rPr>
              <w:t>TAK, podać</w:t>
            </w:r>
          </w:p>
        </w:tc>
        <w:tc>
          <w:tcPr>
            <w:tcW w:w="1983" w:type="dxa"/>
            <w:tcBorders>
              <w:left w:val="single" w:sz="4" w:space="0" w:color="836967"/>
              <w:bottom w:val="single" w:sz="4" w:space="0" w:color="836967"/>
              <w:right w:val="single" w:sz="4" w:space="0" w:color="836967"/>
            </w:tcBorders>
            <w:tcMar>
              <w:left w:w="70" w:type="dxa"/>
              <w:right w:w="70" w:type="dxa"/>
            </w:tcMar>
          </w:tcPr>
          <w:p w14:paraId="15B4909B" w14:textId="77777777" w:rsidR="009C3702" w:rsidRPr="00DA0FE0" w:rsidRDefault="009C3702" w:rsidP="001E6F24">
            <w:pPr>
              <w:jc w:val="center"/>
              <w:rPr>
                <w:rFonts w:cs="Calibri"/>
              </w:rPr>
            </w:pPr>
          </w:p>
        </w:tc>
      </w:tr>
      <w:tr w:rsidR="009C3702" w:rsidRPr="00DA0FE0" w14:paraId="15F232E3" w14:textId="77777777" w:rsidTr="001E6F24">
        <w:trPr>
          <w:cantSplit/>
        </w:trPr>
        <w:tc>
          <w:tcPr>
            <w:tcW w:w="680" w:type="dxa"/>
            <w:tcBorders>
              <w:top w:val="single" w:sz="4" w:space="0" w:color="836967"/>
              <w:left w:val="single" w:sz="4" w:space="0" w:color="836967"/>
              <w:bottom w:val="single" w:sz="4" w:space="0" w:color="836967"/>
              <w:right w:val="single" w:sz="4" w:space="0" w:color="836967"/>
            </w:tcBorders>
            <w:shd w:val="clear" w:color="auto" w:fill="AEAAAA"/>
            <w:tcMar>
              <w:left w:w="70" w:type="dxa"/>
              <w:right w:w="70" w:type="dxa"/>
            </w:tcMar>
            <w:vAlign w:val="center"/>
          </w:tcPr>
          <w:p w14:paraId="146CE5DA" w14:textId="77777777" w:rsidR="009C3702" w:rsidRPr="00DA0FE0" w:rsidRDefault="009C3702" w:rsidP="001E6F24">
            <w:pPr>
              <w:rPr>
                <w:rFonts w:cs="Calibri"/>
                <w:b/>
              </w:rPr>
            </w:pPr>
            <w:r w:rsidRPr="00DA0FE0">
              <w:rPr>
                <w:rFonts w:cs="Calibri"/>
                <w:b/>
              </w:rPr>
              <w:t>II.</w:t>
            </w:r>
          </w:p>
        </w:tc>
        <w:tc>
          <w:tcPr>
            <w:tcW w:w="5236" w:type="dxa"/>
            <w:tcBorders>
              <w:top w:val="single" w:sz="4" w:space="0" w:color="836967"/>
              <w:left w:val="single" w:sz="6" w:space="0" w:color="000000"/>
              <w:bottom w:val="single" w:sz="4" w:space="0" w:color="836967"/>
            </w:tcBorders>
            <w:shd w:val="clear" w:color="auto" w:fill="AEAAAA"/>
            <w:tcMar>
              <w:left w:w="70" w:type="dxa"/>
              <w:right w:w="70" w:type="dxa"/>
            </w:tcMar>
            <w:vAlign w:val="center"/>
          </w:tcPr>
          <w:p w14:paraId="30BA92F8" w14:textId="77777777" w:rsidR="009C3702" w:rsidRPr="00DA0FE0" w:rsidRDefault="009C3702" w:rsidP="001E6F24">
            <w:pPr>
              <w:rPr>
                <w:rFonts w:cs="Calibri"/>
                <w:b/>
              </w:rPr>
            </w:pPr>
            <w:r w:rsidRPr="00DA0FE0">
              <w:rPr>
                <w:rFonts w:cs="Calibri"/>
                <w:b/>
              </w:rPr>
              <w:t>Opis parametrów</w:t>
            </w:r>
          </w:p>
        </w:tc>
        <w:tc>
          <w:tcPr>
            <w:tcW w:w="1293" w:type="dxa"/>
            <w:tcBorders>
              <w:left w:val="single" w:sz="6" w:space="0" w:color="000000"/>
              <w:bottom w:val="single" w:sz="4" w:space="0" w:color="836967"/>
            </w:tcBorders>
            <w:shd w:val="clear" w:color="auto" w:fill="AEAAAA"/>
            <w:tcMar>
              <w:left w:w="70" w:type="dxa"/>
              <w:right w:w="70" w:type="dxa"/>
            </w:tcMar>
            <w:vAlign w:val="center"/>
          </w:tcPr>
          <w:p w14:paraId="00A50578" w14:textId="77777777" w:rsidR="009C3702" w:rsidRPr="00DA0FE0" w:rsidRDefault="009C3702" w:rsidP="001E6F24">
            <w:pPr>
              <w:rPr>
                <w:rFonts w:cs="Calibri"/>
                <w:b/>
              </w:rPr>
            </w:pPr>
          </w:p>
        </w:tc>
        <w:tc>
          <w:tcPr>
            <w:tcW w:w="1983" w:type="dxa"/>
            <w:tcBorders>
              <w:left w:val="single" w:sz="6" w:space="0" w:color="000000"/>
              <w:bottom w:val="single" w:sz="4" w:space="0" w:color="836967"/>
              <w:right w:val="single" w:sz="4" w:space="0" w:color="836967"/>
            </w:tcBorders>
            <w:shd w:val="clear" w:color="auto" w:fill="AEAAAA"/>
            <w:tcMar>
              <w:left w:w="70" w:type="dxa"/>
              <w:right w:w="70" w:type="dxa"/>
            </w:tcMar>
            <w:vAlign w:val="center"/>
          </w:tcPr>
          <w:p w14:paraId="55CF8A1C" w14:textId="77777777" w:rsidR="009C3702" w:rsidRPr="00DA0FE0" w:rsidRDefault="009C3702" w:rsidP="001E6F24">
            <w:pPr>
              <w:rPr>
                <w:rFonts w:cs="Calibri"/>
                <w:b/>
              </w:rPr>
            </w:pPr>
            <w:r w:rsidRPr="00DA0FE0">
              <w:rPr>
                <w:rFonts w:cs="Calibri"/>
                <w:b/>
              </w:rPr>
              <w:t>Opis parametrów</w:t>
            </w:r>
          </w:p>
        </w:tc>
      </w:tr>
      <w:tr w:rsidR="009C3702" w:rsidRPr="00DA0FE0" w14:paraId="66CDBD43"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0796DDD3"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w:t>
            </w:r>
          </w:p>
        </w:tc>
        <w:tc>
          <w:tcPr>
            <w:tcW w:w="5236" w:type="dxa"/>
            <w:tcBorders>
              <w:top w:val="single" w:sz="4" w:space="0" w:color="836967"/>
              <w:left w:val="single" w:sz="4" w:space="0" w:color="836967"/>
              <w:bottom w:val="single" w:sz="4" w:space="0" w:color="836967"/>
            </w:tcBorders>
            <w:tcMar>
              <w:left w:w="70" w:type="dxa"/>
              <w:right w:w="70" w:type="dxa"/>
            </w:tcMar>
          </w:tcPr>
          <w:p w14:paraId="41C89356"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Automatyczny analizator hematologiczny</w:t>
            </w:r>
          </w:p>
          <w:p w14:paraId="46C9201C"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z różnicowaniem krwinek białych na 5 populacji: limfocyty, granulocyty, </w:t>
            </w:r>
            <w:proofErr w:type="spellStart"/>
            <w:r w:rsidRPr="00DA0FE0">
              <w:rPr>
                <w:rFonts w:ascii="Times New Roman" w:eastAsia="Times New Roman" w:hAnsi="Times New Roman" w:cs="Times New Roman"/>
                <w:sz w:val="22"/>
              </w:rPr>
              <w:t>eozynofile</w:t>
            </w:r>
            <w:proofErr w:type="spellEnd"/>
            <w:r w:rsidRPr="00DA0FE0">
              <w:rPr>
                <w:rFonts w:ascii="Times New Roman" w:eastAsia="Times New Roman" w:hAnsi="Times New Roman" w:cs="Times New Roman"/>
                <w:sz w:val="22"/>
              </w:rPr>
              <w:t xml:space="preserve">, </w:t>
            </w:r>
            <w:proofErr w:type="spellStart"/>
            <w:r w:rsidRPr="00DA0FE0">
              <w:rPr>
                <w:rFonts w:ascii="Times New Roman" w:eastAsia="Times New Roman" w:hAnsi="Times New Roman" w:cs="Times New Roman"/>
                <w:sz w:val="22"/>
              </w:rPr>
              <w:t>bazocyty</w:t>
            </w:r>
            <w:proofErr w:type="spellEnd"/>
            <w:r w:rsidRPr="00DA0FE0">
              <w:rPr>
                <w:rFonts w:ascii="Times New Roman" w:eastAsia="Times New Roman" w:hAnsi="Times New Roman" w:cs="Times New Roman"/>
                <w:sz w:val="22"/>
              </w:rPr>
              <w:t xml:space="preserve">, monocyty z wykorzystaniem fluorescencyjnej </w:t>
            </w:r>
            <w:proofErr w:type="spellStart"/>
            <w:r w:rsidRPr="00DA0FE0">
              <w:rPr>
                <w:rFonts w:ascii="Times New Roman" w:eastAsia="Times New Roman" w:hAnsi="Times New Roman" w:cs="Times New Roman"/>
                <w:sz w:val="22"/>
              </w:rPr>
              <w:t>cytometrii</w:t>
            </w:r>
            <w:proofErr w:type="spellEnd"/>
            <w:r w:rsidRPr="00DA0FE0">
              <w:rPr>
                <w:rFonts w:ascii="Times New Roman" w:eastAsia="Times New Roman" w:hAnsi="Times New Roman" w:cs="Times New Roman"/>
                <w:sz w:val="22"/>
              </w:rPr>
              <w:t xml:space="preserve"> przepływowej w oparciu o laser półprzewodnikowy, mikro i </w:t>
            </w:r>
            <w:proofErr w:type="spellStart"/>
            <w:r w:rsidRPr="00DA0FE0">
              <w:rPr>
                <w:rFonts w:ascii="Times New Roman" w:eastAsia="Times New Roman" w:hAnsi="Times New Roman" w:cs="Times New Roman"/>
                <w:sz w:val="22"/>
              </w:rPr>
              <w:t>makrocyty</w:t>
            </w:r>
            <w:proofErr w:type="spellEnd"/>
            <w:r w:rsidRPr="00DA0FE0">
              <w:rPr>
                <w:rFonts w:ascii="Times New Roman" w:eastAsia="Times New Roman" w:hAnsi="Times New Roman" w:cs="Times New Roman"/>
                <w:sz w:val="22"/>
              </w:rPr>
              <w:t xml:space="preserve"> oznaczane w każdej morfologii jako parametry raportowane- diagnostyczne</w:t>
            </w:r>
          </w:p>
        </w:tc>
        <w:tc>
          <w:tcPr>
            <w:tcW w:w="1293" w:type="dxa"/>
            <w:tcBorders>
              <w:left w:val="single" w:sz="4" w:space="0" w:color="836967"/>
              <w:bottom w:val="single" w:sz="4" w:space="0" w:color="836967"/>
            </w:tcBorders>
            <w:tcMar>
              <w:left w:w="70" w:type="dxa"/>
              <w:right w:w="70" w:type="dxa"/>
            </w:tcMar>
          </w:tcPr>
          <w:p w14:paraId="2CE1B228"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697C7628" w14:textId="77777777" w:rsidR="009C3702" w:rsidRPr="00DA0FE0" w:rsidRDefault="009C3702" w:rsidP="001E6F24">
            <w:pPr>
              <w:rPr>
                <w:rFonts w:cs="Calibri"/>
              </w:rPr>
            </w:pPr>
          </w:p>
        </w:tc>
      </w:tr>
      <w:tr w:rsidR="009C3702" w:rsidRPr="00DA0FE0" w14:paraId="2256E41D"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7DE2A048"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2.</w:t>
            </w:r>
          </w:p>
        </w:tc>
        <w:tc>
          <w:tcPr>
            <w:tcW w:w="5236" w:type="dxa"/>
            <w:tcBorders>
              <w:left w:val="single" w:sz="4" w:space="0" w:color="836967"/>
              <w:bottom w:val="single" w:sz="4" w:space="0" w:color="836967"/>
            </w:tcBorders>
            <w:tcMar>
              <w:left w:w="70" w:type="dxa"/>
              <w:right w:w="70" w:type="dxa"/>
            </w:tcMar>
          </w:tcPr>
          <w:p w14:paraId="7A2BEE67"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Analizator używany lub fabrycznie nowy z podajnikiem mającym system przekłuwania korka w  probówkach systemu zamkniętego, aspiracyjno-próżniowego na min. 20 próbek z zewnętrzną drukarką laserową czarno-białą i z UPS w wyposażeniu i czytnikami kodów wewnętrznym i zewnętrznym</w:t>
            </w:r>
          </w:p>
        </w:tc>
        <w:tc>
          <w:tcPr>
            <w:tcW w:w="1293" w:type="dxa"/>
            <w:tcBorders>
              <w:left w:val="single" w:sz="4" w:space="0" w:color="836967"/>
              <w:bottom w:val="single" w:sz="4" w:space="0" w:color="836967"/>
            </w:tcBorders>
            <w:tcMar>
              <w:left w:w="70" w:type="dxa"/>
              <w:right w:w="70" w:type="dxa"/>
            </w:tcMar>
          </w:tcPr>
          <w:p w14:paraId="0265D630"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7D6B127" w14:textId="77777777" w:rsidR="009C3702" w:rsidRPr="00DA0FE0" w:rsidRDefault="009C3702" w:rsidP="001E6F24">
            <w:pPr>
              <w:rPr>
                <w:rFonts w:cs="Calibri"/>
              </w:rPr>
            </w:pPr>
          </w:p>
        </w:tc>
      </w:tr>
      <w:tr w:rsidR="009C3702" w:rsidRPr="00DA0FE0" w14:paraId="3A485E9E"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7A79E6D3"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3.</w:t>
            </w:r>
          </w:p>
        </w:tc>
        <w:tc>
          <w:tcPr>
            <w:tcW w:w="5236" w:type="dxa"/>
            <w:tcBorders>
              <w:left w:val="single" w:sz="4" w:space="0" w:color="836967"/>
              <w:bottom w:val="single" w:sz="4" w:space="0" w:color="836967"/>
            </w:tcBorders>
            <w:tcMar>
              <w:left w:w="70" w:type="dxa"/>
              <w:right w:w="70" w:type="dxa"/>
            </w:tcMar>
          </w:tcPr>
          <w:p w14:paraId="319938FF"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Analizator oznaczający minimum 24 parametry z </w:t>
            </w:r>
            <w:r w:rsidRPr="00DA0FE0">
              <w:rPr>
                <w:rFonts w:ascii="Times New Roman" w:eastAsia="Times New Roman" w:hAnsi="Times New Roman" w:cs="Times New Roman"/>
                <w:sz w:val="22"/>
              </w:rPr>
              <w:lastRenderedPageBreak/>
              <w:t xml:space="preserve">rozdziałem WBC na 5 </w:t>
            </w:r>
            <w:proofErr w:type="spellStart"/>
            <w:r w:rsidRPr="00DA0FE0">
              <w:rPr>
                <w:rFonts w:ascii="Times New Roman" w:eastAsia="Times New Roman" w:hAnsi="Times New Roman" w:cs="Times New Roman"/>
                <w:sz w:val="22"/>
              </w:rPr>
              <w:t>diff</w:t>
            </w:r>
            <w:proofErr w:type="spellEnd"/>
          </w:p>
        </w:tc>
        <w:tc>
          <w:tcPr>
            <w:tcW w:w="1293" w:type="dxa"/>
            <w:tcBorders>
              <w:left w:val="single" w:sz="4" w:space="0" w:color="836967"/>
              <w:bottom w:val="single" w:sz="4" w:space="0" w:color="836967"/>
            </w:tcBorders>
            <w:tcMar>
              <w:left w:w="70" w:type="dxa"/>
              <w:right w:w="70" w:type="dxa"/>
            </w:tcMar>
          </w:tcPr>
          <w:p w14:paraId="5E2C4A5A"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lastRenderedPageBreak/>
              <w:t>TAK</w:t>
            </w:r>
          </w:p>
        </w:tc>
        <w:tc>
          <w:tcPr>
            <w:tcW w:w="1983" w:type="dxa"/>
            <w:tcBorders>
              <w:left w:val="single" w:sz="4" w:space="0" w:color="836967"/>
              <w:bottom w:val="single" w:sz="4" w:space="0" w:color="836967"/>
              <w:right w:val="single" w:sz="4" w:space="0" w:color="836967"/>
            </w:tcBorders>
            <w:tcMar>
              <w:left w:w="70" w:type="dxa"/>
              <w:right w:w="70" w:type="dxa"/>
            </w:tcMar>
          </w:tcPr>
          <w:p w14:paraId="642D55FB" w14:textId="77777777" w:rsidR="009C3702" w:rsidRPr="00DA0FE0" w:rsidRDefault="009C3702" w:rsidP="001E6F24">
            <w:pPr>
              <w:rPr>
                <w:rFonts w:cs="Calibri"/>
              </w:rPr>
            </w:pPr>
          </w:p>
        </w:tc>
      </w:tr>
      <w:tr w:rsidR="009C3702" w:rsidRPr="00DA0FE0" w14:paraId="3034DA67"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0562A47A"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4.</w:t>
            </w:r>
          </w:p>
        </w:tc>
        <w:tc>
          <w:tcPr>
            <w:tcW w:w="5236" w:type="dxa"/>
            <w:tcBorders>
              <w:left w:val="single" w:sz="4" w:space="0" w:color="836967"/>
              <w:bottom w:val="single" w:sz="4" w:space="0" w:color="836967"/>
            </w:tcBorders>
            <w:tcMar>
              <w:left w:w="70" w:type="dxa"/>
              <w:right w:w="70" w:type="dxa"/>
            </w:tcMar>
          </w:tcPr>
          <w:p w14:paraId="344C7DF7"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Wydajność nie mniej niż 60 </w:t>
            </w:r>
            <w:proofErr w:type="spellStart"/>
            <w:r w:rsidRPr="00DA0FE0">
              <w:rPr>
                <w:rFonts w:ascii="Times New Roman" w:eastAsia="Times New Roman" w:hAnsi="Times New Roman" w:cs="Times New Roman"/>
                <w:sz w:val="22"/>
              </w:rPr>
              <w:t>ozn</w:t>
            </w:r>
            <w:proofErr w:type="spellEnd"/>
            <w:r w:rsidRPr="00DA0FE0">
              <w:rPr>
                <w:rFonts w:ascii="Times New Roman" w:eastAsia="Times New Roman" w:hAnsi="Times New Roman" w:cs="Times New Roman"/>
                <w:sz w:val="22"/>
              </w:rPr>
              <w:t xml:space="preserve">./ h w trybie CBC/CBC+5 </w:t>
            </w:r>
            <w:proofErr w:type="spellStart"/>
            <w:r w:rsidRPr="00DA0FE0">
              <w:rPr>
                <w:rFonts w:ascii="Times New Roman" w:eastAsia="Times New Roman" w:hAnsi="Times New Roman" w:cs="Times New Roman"/>
                <w:sz w:val="22"/>
              </w:rPr>
              <w:t>diff</w:t>
            </w:r>
            <w:proofErr w:type="spellEnd"/>
          </w:p>
        </w:tc>
        <w:tc>
          <w:tcPr>
            <w:tcW w:w="1293" w:type="dxa"/>
            <w:tcBorders>
              <w:left w:val="single" w:sz="4" w:space="0" w:color="836967"/>
              <w:bottom w:val="single" w:sz="4" w:space="0" w:color="836967"/>
            </w:tcBorders>
            <w:tcMar>
              <w:left w:w="70" w:type="dxa"/>
              <w:right w:w="70" w:type="dxa"/>
            </w:tcMar>
          </w:tcPr>
          <w:p w14:paraId="7589358F"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szCs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2BD89E12" w14:textId="77777777" w:rsidR="009C3702" w:rsidRPr="00DA0FE0" w:rsidRDefault="009C3702" w:rsidP="001E6F24">
            <w:pPr>
              <w:rPr>
                <w:rFonts w:cs="Calibri"/>
              </w:rPr>
            </w:pPr>
          </w:p>
        </w:tc>
      </w:tr>
      <w:tr w:rsidR="009C3702" w:rsidRPr="00DA0FE0" w14:paraId="2DC05CA3"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76AB6E4B"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5.</w:t>
            </w:r>
          </w:p>
        </w:tc>
        <w:tc>
          <w:tcPr>
            <w:tcW w:w="5236" w:type="dxa"/>
            <w:tcBorders>
              <w:top w:val="single" w:sz="4" w:space="0" w:color="836967"/>
              <w:left w:val="single" w:sz="4" w:space="0" w:color="836967"/>
              <w:bottom w:val="single" w:sz="4" w:space="0" w:color="836967"/>
            </w:tcBorders>
            <w:tcMar>
              <w:left w:w="70" w:type="dxa"/>
              <w:right w:w="70" w:type="dxa"/>
            </w:tcMar>
          </w:tcPr>
          <w:p w14:paraId="29B31B06"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Analizator posiadający możliwość oznaczania </w:t>
            </w:r>
            <w:proofErr w:type="spellStart"/>
            <w:r w:rsidRPr="00DA0FE0">
              <w:rPr>
                <w:rFonts w:ascii="Times New Roman" w:eastAsia="Times New Roman" w:hAnsi="Times New Roman" w:cs="Times New Roman"/>
                <w:sz w:val="22"/>
              </w:rPr>
              <w:t>retikulocytów</w:t>
            </w:r>
            <w:proofErr w:type="spellEnd"/>
            <w:r w:rsidRPr="00DA0FE0">
              <w:rPr>
                <w:rFonts w:ascii="Times New Roman" w:eastAsia="Times New Roman" w:hAnsi="Times New Roman" w:cs="Times New Roman"/>
                <w:sz w:val="22"/>
              </w:rPr>
              <w:t xml:space="preserve"> i płytek metoda optyczną, parametr </w:t>
            </w:r>
            <w:proofErr w:type="spellStart"/>
            <w:r w:rsidRPr="00DA0FE0">
              <w:rPr>
                <w:rFonts w:ascii="Times New Roman" w:eastAsia="Times New Roman" w:hAnsi="Times New Roman" w:cs="Times New Roman"/>
                <w:sz w:val="22"/>
              </w:rPr>
              <w:t>raportowalny</w:t>
            </w:r>
            <w:proofErr w:type="spellEnd"/>
            <w:r w:rsidRPr="00DA0FE0">
              <w:rPr>
                <w:rFonts w:ascii="Times New Roman" w:eastAsia="Times New Roman" w:hAnsi="Times New Roman" w:cs="Times New Roman"/>
                <w:sz w:val="22"/>
              </w:rPr>
              <w:t xml:space="preserve"> oraz możliwość oznaczania płynów z jam ciała bez potrzeby użycia dodatkowych odczynników- maksymalna objętość pobieranego materiału w tym trybie nie może być większa niż 70ul- </w:t>
            </w:r>
            <w:r w:rsidRPr="00DA0FE0">
              <w:rPr>
                <w:rFonts w:ascii="Times New Roman" w:eastAsia="Times New Roman" w:hAnsi="Times New Roman" w:cs="Times New Roman"/>
                <w:sz w:val="22"/>
                <w:u w:val="single"/>
              </w:rPr>
              <w:t>wymóg dla minimum jednego analizatora</w:t>
            </w:r>
          </w:p>
        </w:tc>
        <w:tc>
          <w:tcPr>
            <w:tcW w:w="1293" w:type="dxa"/>
            <w:tcBorders>
              <w:left w:val="single" w:sz="4" w:space="0" w:color="836967"/>
              <w:bottom w:val="single" w:sz="4" w:space="0" w:color="836967"/>
            </w:tcBorders>
            <w:tcMar>
              <w:left w:w="70" w:type="dxa"/>
              <w:right w:w="70" w:type="dxa"/>
            </w:tcMar>
          </w:tcPr>
          <w:p w14:paraId="57207EAF"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4A8E0AF"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6FE53294"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47AEA27F"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6.</w:t>
            </w:r>
          </w:p>
        </w:tc>
        <w:tc>
          <w:tcPr>
            <w:tcW w:w="5236" w:type="dxa"/>
            <w:tcBorders>
              <w:top w:val="single" w:sz="4" w:space="0" w:color="836967"/>
              <w:left w:val="single" w:sz="4" w:space="0" w:color="836967"/>
              <w:bottom w:val="single" w:sz="4" w:space="0" w:color="836967"/>
            </w:tcBorders>
            <w:tcMar>
              <w:left w:w="70" w:type="dxa"/>
              <w:right w:w="70" w:type="dxa"/>
            </w:tcMar>
          </w:tcPr>
          <w:p w14:paraId="119CAE58"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zapewni podłączenie do systemu informatycznego działającego u Zamawiającego</w:t>
            </w:r>
          </w:p>
        </w:tc>
        <w:tc>
          <w:tcPr>
            <w:tcW w:w="1293" w:type="dxa"/>
            <w:tcBorders>
              <w:left w:val="single" w:sz="4" w:space="0" w:color="836967"/>
              <w:bottom w:val="single" w:sz="4" w:space="0" w:color="836967"/>
            </w:tcBorders>
            <w:tcMar>
              <w:left w:w="70" w:type="dxa"/>
              <w:right w:w="70" w:type="dxa"/>
            </w:tcMar>
          </w:tcPr>
          <w:p w14:paraId="42D90F08"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C226E11"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1162DDA7"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46D23EA4"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7.</w:t>
            </w:r>
          </w:p>
        </w:tc>
        <w:tc>
          <w:tcPr>
            <w:tcW w:w="5236" w:type="dxa"/>
            <w:tcBorders>
              <w:top w:val="single" w:sz="4" w:space="0" w:color="836967"/>
              <w:left w:val="single" w:sz="4" w:space="0" w:color="836967"/>
              <w:bottom w:val="single" w:sz="4" w:space="0" w:color="836967"/>
            </w:tcBorders>
            <w:tcMar>
              <w:left w:w="70" w:type="dxa"/>
              <w:right w:w="70" w:type="dxa"/>
            </w:tcMar>
          </w:tcPr>
          <w:p w14:paraId="0ABA028E"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przeprowadzi szkolenie personelu w obsłudze aparatu i interpretacji wyników. Z interpretacji wyników szkolenie również dla chętnych z personelu medycznego w szpitalu</w:t>
            </w:r>
          </w:p>
        </w:tc>
        <w:tc>
          <w:tcPr>
            <w:tcW w:w="1293" w:type="dxa"/>
            <w:tcBorders>
              <w:left w:val="single" w:sz="4" w:space="0" w:color="836967"/>
              <w:bottom w:val="single" w:sz="4" w:space="0" w:color="836967"/>
            </w:tcBorders>
            <w:tcMar>
              <w:left w:w="70" w:type="dxa"/>
              <w:right w:w="70" w:type="dxa"/>
            </w:tcMar>
          </w:tcPr>
          <w:p w14:paraId="1D00C76C"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41EF38CD"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77BA0FF4"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18DE0698"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8.</w:t>
            </w:r>
          </w:p>
        </w:tc>
        <w:tc>
          <w:tcPr>
            <w:tcW w:w="5236" w:type="dxa"/>
            <w:tcBorders>
              <w:top w:val="single" w:sz="4" w:space="0" w:color="836967"/>
              <w:left w:val="single" w:sz="4" w:space="0" w:color="836967"/>
              <w:bottom w:val="single" w:sz="4" w:space="0" w:color="836967"/>
            </w:tcBorders>
            <w:tcMar>
              <w:left w:w="70" w:type="dxa"/>
              <w:right w:w="70" w:type="dxa"/>
            </w:tcMar>
          </w:tcPr>
          <w:p w14:paraId="18AFAE2B"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zapewni bezpłatny udział w kontroli hematologicznej zewnętrznej, (co najmniej 4 x w roku) z opracowaniem wyników, kontroli potwierdzonej certyfikatem uczestnictwa.</w:t>
            </w:r>
          </w:p>
          <w:p w14:paraId="26B95CE6"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Dopuszcza się kontrolę prowadzoną on-line w oparciu o wyniki kontroli wewnętrznej- kontrola producenta analizatora, program tej kontroli ma posiadać certyfikat ISO 17043.</w:t>
            </w:r>
          </w:p>
        </w:tc>
        <w:tc>
          <w:tcPr>
            <w:tcW w:w="1293" w:type="dxa"/>
            <w:tcBorders>
              <w:left w:val="single" w:sz="4" w:space="0" w:color="836967"/>
              <w:bottom w:val="single" w:sz="4" w:space="0" w:color="836967"/>
            </w:tcBorders>
            <w:tcMar>
              <w:left w:w="70" w:type="dxa"/>
              <w:right w:w="70" w:type="dxa"/>
            </w:tcMar>
          </w:tcPr>
          <w:p w14:paraId="302D9CA7"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60DF75E1"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2C2D0280"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3802EDF7"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9.</w:t>
            </w:r>
          </w:p>
        </w:tc>
        <w:tc>
          <w:tcPr>
            <w:tcW w:w="5236" w:type="dxa"/>
            <w:tcBorders>
              <w:top w:val="single" w:sz="4" w:space="0" w:color="836967"/>
              <w:left w:val="single" w:sz="4" w:space="0" w:color="836967"/>
              <w:bottom w:val="single" w:sz="4" w:space="0" w:color="836967"/>
            </w:tcBorders>
            <w:tcMar>
              <w:left w:w="70" w:type="dxa"/>
              <w:right w:w="70" w:type="dxa"/>
            </w:tcMar>
          </w:tcPr>
          <w:p w14:paraId="636FECFA"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Wykonawca uwzględni w ofercie cenowej, poza wszystkimi odczynnikami   krew kontrolną do kontroli wewnętrznej: na 3 poziomach, policzoną z uwzględnieniem ważności fiolki na opakowaniu (jeden rodzaj krwi kontrolnej dla wszystkich parametrów morfologii krwi obwodowej w tym </w:t>
            </w:r>
            <w:proofErr w:type="spellStart"/>
            <w:r w:rsidRPr="00DA0FE0">
              <w:rPr>
                <w:rFonts w:ascii="Times New Roman" w:eastAsia="Times New Roman" w:hAnsi="Times New Roman" w:cs="Times New Roman"/>
                <w:sz w:val="22"/>
              </w:rPr>
              <w:t>retikulocytów</w:t>
            </w:r>
            <w:proofErr w:type="spellEnd"/>
            <w:r w:rsidRPr="00DA0FE0">
              <w:rPr>
                <w:rFonts w:ascii="Times New Roman" w:eastAsia="Times New Roman" w:hAnsi="Times New Roman" w:cs="Times New Roman"/>
                <w:sz w:val="22"/>
              </w:rPr>
              <w:t>), kontrola płynów z jam ciała 1 raz w roku</w:t>
            </w:r>
          </w:p>
        </w:tc>
        <w:tc>
          <w:tcPr>
            <w:tcW w:w="1293" w:type="dxa"/>
            <w:tcBorders>
              <w:left w:val="single" w:sz="4" w:space="0" w:color="836967"/>
              <w:bottom w:val="single" w:sz="4" w:space="0" w:color="836967"/>
            </w:tcBorders>
            <w:tcMar>
              <w:left w:w="70" w:type="dxa"/>
              <w:right w:w="70" w:type="dxa"/>
            </w:tcMar>
          </w:tcPr>
          <w:p w14:paraId="57E32143"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3F7FFD81"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27CF2020"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55C5AAA9"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10.</w:t>
            </w:r>
          </w:p>
        </w:tc>
        <w:tc>
          <w:tcPr>
            <w:tcW w:w="5236" w:type="dxa"/>
            <w:tcBorders>
              <w:top w:val="single" w:sz="4" w:space="0" w:color="836967"/>
              <w:left w:val="single" w:sz="4" w:space="0" w:color="836967"/>
              <w:bottom w:val="single" w:sz="4" w:space="0" w:color="836967"/>
            </w:tcBorders>
            <w:tcMar>
              <w:left w:w="70" w:type="dxa"/>
              <w:right w:w="70" w:type="dxa"/>
            </w:tcMar>
          </w:tcPr>
          <w:p w14:paraId="1B30FE26" w14:textId="77777777"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Wykonawca dostarczy wraz z aparatem interpretację </w:t>
            </w:r>
            <w:proofErr w:type="spellStart"/>
            <w:r w:rsidRPr="00DA0FE0">
              <w:rPr>
                <w:rFonts w:ascii="Times New Roman" w:eastAsia="Times New Roman" w:hAnsi="Times New Roman" w:cs="Times New Roman"/>
                <w:sz w:val="22"/>
              </w:rPr>
              <w:t>scategramów</w:t>
            </w:r>
            <w:proofErr w:type="spellEnd"/>
            <w:r w:rsidRPr="00DA0FE0">
              <w:rPr>
                <w:rFonts w:ascii="Times New Roman" w:eastAsia="Times New Roman" w:hAnsi="Times New Roman" w:cs="Times New Roman"/>
                <w:sz w:val="22"/>
              </w:rPr>
              <w:t xml:space="preserve"> i histogramów otrzymywanych z aparatu wraz z przykładami wyników oraz zakresy referencyjne dla wszystkich oznaczanych parametrów.</w:t>
            </w:r>
          </w:p>
        </w:tc>
        <w:tc>
          <w:tcPr>
            <w:tcW w:w="1293" w:type="dxa"/>
            <w:tcBorders>
              <w:left w:val="single" w:sz="4" w:space="0" w:color="836967"/>
              <w:bottom w:val="single" w:sz="4" w:space="0" w:color="836967"/>
            </w:tcBorders>
            <w:tcMar>
              <w:left w:w="70" w:type="dxa"/>
              <w:right w:w="70" w:type="dxa"/>
            </w:tcMar>
          </w:tcPr>
          <w:p w14:paraId="4192A8BC"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325FFF3A"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31BE7AEE" w14:textId="77777777" w:rsidTr="001E6F24">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50102D1D"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11.</w:t>
            </w:r>
          </w:p>
        </w:tc>
        <w:tc>
          <w:tcPr>
            <w:tcW w:w="5236" w:type="dxa"/>
            <w:tcBorders>
              <w:top w:val="single" w:sz="4" w:space="0" w:color="836967"/>
              <w:left w:val="single" w:sz="4" w:space="0" w:color="836967"/>
              <w:bottom w:val="single" w:sz="4" w:space="0" w:color="836967"/>
            </w:tcBorders>
            <w:tcMar>
              <w:left w:w="70" w:type="dxa"/>
              <w:right w:w="70" w:type="dxa"/>
            </w:tcMar>
          </w:tcPr>
          <w:p w14:paraId="179F81F0" w14:textId="37E55082" w:rsidR="009C3702" w:rsidRPr="00DA0FE0" w:rsidRDefault="009C3702" w:rsidP="001E6F24">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Oferent zapewni bezpłatny serwis analizatora  obejmujący: naprawy, części zamienne, oraz bezpłatny coroczny przegląd, dokonywany u użytkownika, potwierdzony protokołem i wpisem do paszportu aparatu. </w:t>
            </w:r>
            <w:r w:rsidR="009C500D" w:rsidRPr="009C500D">
              <w:rPr>
                <w:color w:val="FF0000"/>
                <w:sz w:val="23"/>
                <w:szCs w:val="23"/>
              </w:rPr>
              <w:t>C</w:t>
            </w:r>
            <w:r w:rsidR="009C500D" w:rsidRPr="009C500D">
              <w:rPr>
                <w:color w:val="FF0000"/>
                <w:sz w:val="23"/>
                <w:szCs w:val="23"/>
              </w:rPr>
              <w:t>zas reakcji serwisu wraz z podjęciem naprawy w terminie do 24 godzin w dni robocze i do 48 godzin w dni wolne od pracy</w:t>
            </w:r>
            <w:r w:rsidRPr="00DA0FE0">
              <w:rPr>
                <w:rFonts w:ascii="Times New Roman" w:eastAsia="Times New Roman" w:hAnsi="Times New Roman" w:cs="Times New Roman"/>
                <w:sz w:val="22"/>
              </w:rPr>
              <w:t>. Możliwość zdalnego serwisu bezpośrednio na analizatorze (bez potrzeby dokładania dodatkowego komputera)</w:t>
            </w:r>
          </w:p>
        </w:tc>
        <w:tc>
          <w:tcPr>
            <w:tcW w:w="1293" w:type="dxa"/>
            <w:tcBorders>
              <w:left w:val="single" w:sz="4" w:space="0" w:color="836967"/>
              <w:bottom w:val="single" w:sz="4" w:space="0" w:color="836967"/>
            </w:tcBorders>
            <w:tcMar>
              <w:left w:w="70" w:type="dxa"/>
              <w:right w:w="70" w:type="dxa"/>
            </w:tcMar>
          </w:tcPr>
          <w:p w14:paraId="5D4883D7"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41F6BD07" w14:textId="77777777" w:rsidR="009C3702" w:rsidRPr="00DA0FE0" w:rsidRDefault="009C3702" w:rsidP="001E6F24">
            <w:pPr>
              <w:pStyle w:val="Standard"/>
              <w:rPr>
                <w:rFonts w:ascii="Times New Roman" w:eastAsia="Times New Roman" w:hAnsi="Times New Roman" w:cs="Times New Roman"/>
                <w:sz w:val="22"/>
              </w:rPr>
            </w:pPr>
          </w:p>
        </w:tc>
      </w:tr>
      <w:tr w:rsidR="009C3702" w:rsidRPr="00DA0FE0" w14:paraId="30BD7E64"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737EB794"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12.</w:t>
            </w:r>
          </w:p>
        </w:tc>
        <w:tc>
          <w:tcPr>
            <w:tcW w:w="5236" w:type="dxa"/>
            <w:tcBorders>
              <w:left w:val="single" w:sz="4" w:space="0" w:color="836967"/>
              <w:bottom w:val="single" w:sz="4" w:space="0" w:color="836967"/>
            </w:tcBorders>
            <w:tcMar>
              <w:left w:w="70" w:type="dxa"/>
              <w:right w:w="70" w:type="dxa"/>
            </w:tcMar>
          </w:tcPr>
          <w:p w14:paraId="5F558EAB" w14:textId="77777777" w:rsidR="009C3702" w:rsidRPr="00DA0FE0" w:rsidRDefault="009C3702" w:rsidP="001E6F24">
            <w:pPr>
              <w:pStyle w:val="Standard"/>
              <w:rPr>
                <w:rFonts w:ascii="Times New Roman" w:hAnsi="Times New Roman"/>
                <w:sz w:val="22"/>
                <w:szCs w:val="22"/>
              </w:rPr>
            </w:pPr>
            <w:r w:rsidRPr="00DA0FE0">
              <w:rPr>
                <w:rFonts w:ascii="Times New Roman" w:eastAsia="Times New Roman" w:hAnsi="Times New Roman" w:cs="Times New Roman"/>
                <w:sz w:val="22"/>
                <w:szCs w:val="22"/>
              </w:rPr>
              <w:t xml:space="preserve">Sukcesywne dostarczanie odczynników (odpowiednio opakowanych i oznaczonych, </w:t>
            </w:r>
            <w:r w:rsidRPr="00DA0FE0">
              <w:rPr>
                <w:rFonts w:ascii="Times New Roman" w:hAnsi="Times New Roman"/>
                <w:sz w:val="22"/>
                <w:szCs w:val="22"/>
              </w:rPr>
              <w:t>zgodnie z obowiązującymi w Polsce przepisami), pod wskazany w umowie adres.</w:t>
            </w:r>
          </w:p>
          <w:p w14:paraId="704F1128" w14:textId="77777777" w:rsidR="009C3702" w:rsidRPr="00DA0FE0" w:rsidRDefault="009C3702" w:rsidP="001E6F24">
            <w:pPr>
              <w:pStyle w:val="Standard"/>
              <w:rPr>
                <w:rFonts w:ascii="Times New Roman" w:eastAsia="Times New Roman" w:hAnsi="Times New Roman" w:cs="Times New Roman"/>
                <w:sz w:val="22"/>
                <w:szCs w:val="22"/>
              </w:rPr>
            </w:pPr>
          </w:p>
        </w:tc>
        <w:tc>
          <w:tcPr>
            <w:tcW w:w="1293" w:type="dxa"/>
            <w:tcBorders>
              <w:left w:val="single" w:sz="4" w:space="0" w:color="836967"/>
              <w:bottom w:val="single" w:sz="4" w:space="0" w:color="836967"/>
            </w:tcBorders>
            <w:tcMar>
              <w:left w:w="70" w:type="dxa"/>
              <w:right w:w="70" w:type="dxa"/>
            </w:tcMar>
          </w:tcPr>
          <w:p w14:paraId="24521FF9"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7DA1516B" w14:textId="77777777" w:rsidR="009C3702" w:rsidRPr="00DA0FE0" w:rsidRDefault="009C3702" w:rsidP="001E6F24">
            <w:pPr>
              <w:pStyle w:val="Standard"/>
              <w:rPr>
                <w:rFonts w:ascii="Times New Roman" w:eastAsia="Times New Roman" w:hAnsi="Times New Roman" w:cs="Times New Roman"/>
                <w:sz w:val="22"/>
                <w:szCs w:val="22"/>
              </w:rPr>
            </w:pPr>
          </w:p>
        </w:tc>
      </w:tr>
      <w:tr w:rsidR="009C3702" w:rsidRPr="00DA0FE0" w14:paraId="4F867777"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70A69A5E"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13.</w:t>
            </w:r>
          </w:p>
        </w:tc>
        <w:tc>
          <w:tcPr>
            <w:tcW w:w="5236" w:type="dxa"/>
            <w:tcBorders>
              <w:left w:val="single" w:sz="4" w:space="0" w:color="836967"/>
              <w:bottom w:val="single" w:sz="4" w:space="0" w:color="836967"/>
            </w:tcBorders>
            <w:tcMar>
              <w:left w:w="70" w:type="dxa"/>
              <w:right w:w="70" w:type="dxa"/>
            </w:tcMar>
          </w:tcPr>
          <w:p w14:paraId="427CF266" w14:textId="77777777" w:rsidR="009C3702" w:rsidRPr="00DA0FE0" w:rsidRDefault="009C3702" w:rsidP="001E6F24">
            <w:pPr>
              <w:widowControl w:val="0"/>
            </w:pPr>
            <w:bookmarkStart w:id="1" w:name="_Hlk96517511_kopia_1"/>
            <w:r w:rsidRPr="00DA0FE0">
              <w:rPr>
                <w:sz w:val="22"/>
                <w:szCs w:val="22"/>
              </w:rPr>
              <w:t xml:space="preserve">Analizator posiadający tryb dla próbek </w:t>
            </w:r>
            <w:proofErr w:type="spellStart"/>
            <w:r w:rsidRPr="00DA0FE0">
              <w:rPr>
                <w:sz w:val="22"/>
                <w:szCs w:val="22"/>
              </w:rPr>
              <w:t>leukopenicznych</w:t>
            </w:r>
            <w:proofErr w:type="spellEnd"/>
            <w:r w:rsidRPr="00DA0FE0">
              <w:rPr>
                <w:sz w:val="22"/>
                <w:szCs w:val="22"/>
              </w:rPr>
              <w:t>- z wydłużonym czasem zliczania leukocytów</w:t>
            </w:r>
            <w:bookmarkEnd w:id="1"/>
          </w:p>
          <w:p w14:paraId="4E6BFC69" w14:textId="77777777" w:rsidR="009C3702" w:rsidRPr="00DA0FE0" w:rsidRDefault="009C3702" w:rsidP="001E6F24">
            <w:pPr>
              <w:widowControl w:val="0"/>
              <w:rPr>
                <w:u w:val="single"/>
              </w:rPr>
            </w:pPr>
          </w:p>
        </w:tc>
        <w:tc>
          <w:tcPr>
            <w:tcW w:w="1293" w:type="dxa"/>
            <w:tcBorders>
              <w:left w:val="single" w:sz="4" w:space="0" w:color="836967"/>
              <w:bottom w:val="single" w:sz="4" w:space="0" w:color="836967"/>
            </w:tcBorders>
            <w:tcMar>
              <w:left w:w="70" w:type="dxa"/>
              <w:right w:w="70" w:type="dxa"/>
            </w:tcMar>
          </w:tcPr>
          <w:p w14:paraId="1FBF1B51"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lastRenderedPageBreak/>
              <w:t>TAK</w:t>
            </w:r>
          </w:p>
        </w:tc>
        <w:tc>
          <w:tcPr>
            <w:tcW w:w="1983" w:type="dxa"/>
            <w:tcBorders>
              <w:left w:val="single" w:sz="4" w:space="0" w:color="836967"/>
              <w:bottom w:val="single" w:sz="4" w:space="0" w:color="836967"/>
              <w:right w:val="single" w:sz="4" w:space="0" w:color="836967"/>
            </w:tcBorders>
            <w:tcMar>
              <w:left w:w="70" w:type="dxa"/>
              <w:right w:w="70" w:type="dxa"/>
            </w:tcMar>
          </w:tcPr>
          <w:p w14:paraId="0187BDBC" w14:textId="77777777" w:rsidR="009C3702" w:rsidRPr="00DA0FE0" w:rsidRDefault="009C3702" w:rsidP="001E6F24">
            <w:pPr>
              <w:widowControl w:val="0"/>
              <w:suppressLineNumbers/>
              <w:rPr>
                <w:rFonts w:ascii="Georgia" w:hAnsi="Georgia"/>
                <w:sz w:val="20"/>
                <w:szCs w:val="20"/>
              </w:rPr>
            </w:pPr>
          </w:p>
        </w:tc>
      </w:tr>
      <w:tr w:rsidR="009C3702" w:rsidRPr="00DA0FE0" w14:paraId="2D00C8AF" w14:textId="77777777" w:rsidTr="001E6F24">
        <w:tc>
          <w:tcPr>
            <w:tcW w:w="680" w:type="dxa"/>
            <w:tcBorders>
              <w:left w:val="single" w:sz="4" w:space="0" w:color="836967"/>
              <w:right w:val="single" w:sz="4" w:space="0" w:color="836967"/>
            </w:tcBorders>
            <w:tcMar>
              <w:left w:w="70" w:type="dxa"/>
              <w:right w:w="70" w:type="dxa"/>
            </w:tcMar>
          </w:tcPr>
          <w:p w14:paraId="74A1E379" w14:textId="77777777" w:rsidR="009C3702" w:rsidRPr="00DA0FE0" w:rsidRDefault="009C3702" w:rsidP="001E6F24">
            <w:pPr>
              <w:pStyle w:val="Standard"/>
              <w:jc w:val="center"/>
              <w:rPr>
                <w:rFonts w:hint="eastAsia"/>
              </w:rPr>
            </w:pPr>
            <w:r w:rsidRPr="00DA0FE0">
              <w:rPr>
                <w:rFonts w:ascii="Times New Roman" w:eastAsia="Times New Roman" w:hAnsi="Times New Roman" w:cs="Times New Roman"/>
                <w:sz w:val="22"/>
              </w:rPr>
              <w:t>14.</w:t>
            </w:r>
          </w:p>
        </w:tc>
        <w:tc>
          <w:tcPr>
            <w:tcW w:w="5236" w:type="dxa"/>
            <w:tcBorders>
              <w:left w:val="single" w:sz="4" w:space="0" w:color="836967"/>
            </w:tcBorders>
            <w:tcMar>
              <w:left w:w="70" w:type="dxa"/>
              <w:right w:w="70" w:type="dxa"/>
            </w:tcMar>
          </w:tcPr>
          <w:p w14:paraId="01A09D0F" w14:textId="77777777" w:rsidR="009C3702" w:rsidRPr="00DA0FE0" w:rsidRDefault="009C3702" w:rsidP="001E6F24">
            <w:pPr>
              <w:pStyle w:val="Standard"/>
              <w:rPr>
                <w:rFonts w:hint="eastAsia"/>
              </w:rPr>
            </w:pPr>
            <w:r w:rsidRPr="00DA0FE0">
              <w:rPr>
                <w:rFonts w:ascii="Times New Roman" w:eastAsia="Times New Roman" w:hAnsi="Times New Roman" w:cs="Times New Roman"/>
                <w:sz w:val="22"/>
                <w:szCs w:val="22"/>
              </w:rPr>
              <w:t xml:space="preserve">Dostarczenie wraz z ofertą </w:t>
            </w:r>
            <w:r w:rsidRPr="00DA0FE0">
              <w:rPr>
                <w:rFonts w:ascii="Times New Roman" w:hAnsi="Times New Roman"/>
                <w:sz w:val="22"/>
                <w:szCs w:val="22"/>
              </w:rPr>
              <w:t>„Kart charakterystyki substancji niebezpiecznej i preparatu niebezpiecznego” i ulotek w języku polskim, które zawierać będą wszelkie niezbędne informacje oraz instrukcje w</w:t>
            </w:r>
            <w:r w:rsidRPr="00DA0FE0">
              <w:t xml:space="preserve"> </w:t>
            </w:r>
            <w:r w:rsidRPr="00DA0FE0">
              <w:rPr>
                <w:rFonts w:ascii="Times New Roman" w:hAnsi="Times New Roman"/>
                <w:sz w:val="22"/>
                <w:szCs w:val="22"/>
              </w:rPr>
              <w:t>języku polskim dotyczące magazynowania i przechowywania odczynników.</w:t>
            </w:r>
          </w:p>
          <w:p w14:paraId="09B604EC" w14:textId="77777777" w:rsidR="009C3702" w:rsidRPr="00DA0FE0" w:rsidRDefault="009C3702" w:rsidP="001E6F24">
            <w:pPr>
              <w:pStyle w:val="Standard"/>
              <w:rPr>
                <w:rFonts w:ascii="Times New Roman" w:hAnsi="Times New Roman"/>
                <w:sz w:val="22"/>
                <w:szCs w:val="22"/>
              </w:rPr>
            </w:pPr>
            <w:r w:rsidRPr="00DA0FE0">
              <w:rPr>
                <w:rFonts w:ascii="Times New Roman" w:hAnsi="Times New Roman"/>
                <w:sz w:val="22"/>
                <w:szCs w:val="22"/>
              </w:rPr>
              <w:t>Dodatkowo: Analizator winien posiadać wbudowaną w oprogramowanie instrukcję obsługi w języku polskim z funkcją inteligentnego i automatycznego przekierowania poprzez automatyczne otwarcie przez aparat konkretnej strony wbudowanej instrukcji obsługi, dotyczącej danego błędu, informacji dotyczącej czynności konserwacyjnych, opisu działań naprawczych dotyczących aktualnie pojawiającego się błędu (komunikatu)bez konieczności manualnego wyszukiwania (wpisywania) kodu lub opisu błędów pliku PDF lub WORD na zewnętrznym komputerze lub oprogramowaniu.</w:t>
            </w:r>
          </w:p>
          <w:p w14:paraId="26E77541" w14:textId="77777777" w:rsidR="009C3702" w:rsidRPr="00DA0FE0" w:rsidRDefault="009C3702" w:rsidP="001E6F24">
            <w:pPr>
              <w:pStyle w:val="Standard"/>
              <w:rPr>
                <w:rFonts w:ascii="Times New Roman" w:eastAsia="Times New Roman" w:hAnsi="Times New Roman" w:cs="Times New Roman"/>
                <w:sz w:val="22"/>
              </w:rPr>
            </w:pPr>
          </w:p>
        </w:tc>
        <w:tc>
          <w:tcPr>
            <w:tcW w:w="1293" w:type="dxa"/>
            <w:tcBorders>
              <w:left w:val="single" w:sz="4" w:space="0" w:color="836967"/>
            </w:tcBorders>
            <w:tcMar>
              <w:left w:w="70" w:type="dxa"/>
              <w:right w:w="70" w:type="dxa"/>
            </w:tcMar>
          </w:tcPr>
          <w:p w14:paraId="188A0157"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right w:val="single" w:sz="4" w:space="0" w:color="836967"/>
            </w:tcBorders>
            <w:tcMar>
              <w:left w:w="70" w:type="dxa"/>
              <w:right w:w="70" w:type="dxa"/>
            </w:tcMar>
          </w:tcPr>
          <w:p w14:paraId="016223B7" w14:textId="77777777" w:rsidR="009C3702" w:rsidRPr="00DA0FE0" w:rsidRDefault="009C3702" w:rsidP="001E6F24">
            <w:pPr>
              <w:pStyle w:val="Standard"/>
              <w:rPr>
                <w:rFonts w:hint="eastAsia"/>
              </w:rPr>
            </w:pPr>
          </w:p>
        </w:tc>
      </w:tr>
      <w:tr w:rsidR="009C3702" w:rsidRPr="00DA0FE0" w14:paraId="0B583BE4" w14:textId="77777777" w:rsidTr="001E6F24">
        <w:tc>
          <w:tcPr>
            <w:tcW w:w="680" w:type="dxa"/>
            <w:tcBorders>
              <w:left w:val="single" w:sz="4" w:space="0" w:color="836967"/>
              <w:right w:val="single" w:sz="4" w:space="0" w:color="836967"/>
            </w:tcBorders>
            <w:tcMar>
              <w:left w:w="70" w:type="dxa"/>
              <w:right w:w="70" w:type="dxa"/>
            </w:tcMar>
          </w:tcPr>
          <w:p w14:paraId="121FAF51"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 xml:space="preserve">15. </w:t>
            </w:r>
          </w:p>
        </w:tc>
        <w:tc>
          <w:tcPr>
            <w:tcW w:w="5236" w:type="dxa"/>
            <w:tcBorders>
              <w:left w:val="single" w:sz="4" w:space="0" w:color="836967"/>
            </w:tcBorders>
            <w:tcMar>
              <w:left w:w="70" w:type="dxa"/>
              <w:right w:w="70" w:type="dxa"/>
            </w:tcMar>
          </w:tcPr>
          <w:p w14:paraId="64957391" w14:textId="24EA6D8F" w:rsidR="009C3702" w:rsidRPr="00DA0FE0" w:rsidRDefault="009C3702" w:rsidP="001E6F24">
            <w:pPr>
              <w:pStyle w:val="Standard"/>
              <w:rPr>
                <w:rFonts w:ascii="Times New Roman" w:eastAsia="Times New Roman" w:hAnsi="Times New Roman" w:cs="Times New Roman"/>
                <w:bCs/>
                <w:sz w:val="22"/>
                <w:szCs w:val="22"/>
              </w:rPr>
            </w:pPr>
            <w:r w:rsidRPr="00550A7A">
              <w:rPr>
                <w:rFonts w:ascii="Times New Roman" w:hAnsi="Times New Roman" w:cs="Calibri"/>
                <w:bCs/>
                <w:color w:val="FF0000"/>
                <w:sz w:val="20"/>
                <w:szCs w:val="20"/>
              </w:rPr>
              <w:t xml:space="preserve">Aparaty wyposażone w urządzenie podtrzymujące napięcie UPS- minimum  </w:t>
            </w:r>
            <w:r w:rsidR="00550A7A" w:rsidRPr="00550A7A">
              <w:rPr>
                <w:rFonts w:ascii="Times New Roman" w:hAnsi="Times New Roman" w:cs="Calibri"/>
                <w:bCs/>
                <w:color w:val="FF0000"/>
                <w:sz w:val="20"/>
                <w:szCs w:val="20"/>
              </w:rPr>
              <w:t>2</w:t>
            </w:r>
            <w:r w:rsidRPr="00550A7A">
              <w:rPr>
                <w:rFonts w:ascii="Times New Roman" w:hAnsi="Times New Roman" w:cs="Calibri"/>
                <w:bCs/>
                <w:color w:val="FF0000"/>
                <w:sz w:val="20"/>
                <w:szCs w:val="20"/>
              </w:rPr>
              <w:t>0 min</w:t>
            </w:r>
          </w:p>
        </w:tc>
        <w:tc>
          <w:tcPr>
            <w:tcW w:w="1293" w:type="dxa"/>
            <w:tcBorders>
              <w:left w:val="single" w:sz="4" w:space="0" w:color="836967"/>
            </w:tcBorders>
            <w:tcMar>
              <w:left w:w="70" w:type="dxa"/>
              <w:right w:w="70" w:type="dxa"/>
            </w:tcMar>
          </w:tcPr>
          <w:p w14:paraId="547F63E8"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p w14:paraId="36289A24" w14:textId="77777777" w:rsidR="009C3702" w:rsidRPr="00DA0FE0" w:rsidRDefault="009C3702" w:rsidP="001E6F24">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Podać</w:t>
            </w:r>
          </w:p>
        </w:tc>
        <w:tc>
          <w:tcPr>
            <w:tcW w:w="1983" w:type="dxa"/>
            <w:tcBorders>
              <w:left w:val="single" w:sz="4" w:space="0" w:color="836967"/>
              <w:right w:val="single" w:sz="4" w:space="0" w:color="836967"/>
            </w:tcBorders>
            <w:tcMar>
              <w:left w:w="70" w:type="dxa"/>
              <w:right w:w="70" w:type="dxa"/>
            </w:tcMar>
          </w:tcPr>
          <w:p w14:paraId="4EAE2F45" w14:textId="77777777" w:rsidR="009C3702" w:rsidRPr="00DA0FE0" w:rsidRDefault="009C3702" w:rsidP="001E6F24">
            <w:pPr>
              <w:pStyle w:val="Standard"/>
              <w:rPr>
                <w:rFonts w:hint="eastAsia"/>
              </w:rPr>
            </w:pPr>
          </w:p>
        </w:tc>
      </w:tr>
      <w:tr w:rsidR="009C3702" w:rsidRPr="00DA0FE0" w14:paraId="7CE352DF" w14:textId="77777777" w:rsidTr="001E6F24">
        <w:tc>
          <w:tcPr>
            <w:tcW w:w="680" w:type="dxa"/>
            <w:tcBorders>
              <w:left w:val="single" w:sz="4" w:space="0" w:color="836967"/>
              <w:bottom w:val="single" w:sz="4" w:space="0" w:color="836967"/>
              <w:right w:val="single" w:sz="4" w:space="0" w:color="836967"/>
            </w:tcBorders>
            <w:tcMar>
              <w:left w:w="70" w:type="dxa"/>
              <w:right w:w="70" w:type="dxa"/>
            </w:tcMar>
          </w:tcPr>
          <w:p w14:paraId="52FE5ACA" w14:textId="77777777" w:rsidR="009C3702" w:rsidRPr="00DA0FE0" w:rsidRDefault="009C3702" w:rsidP="001E6F24">
            <w:pPr>
              <w:pStyle w:val="Standard"/>
              <w:jc w:val="center"/>
              <w:rPr>
                <w:rFonts w:ascii="Times New Roman" w:eastAsia="Times New Roman" w:hAnsi="Times New Roman" w:cs="Times New Roman"/>
                <w:sz w:val="22"/>
              </w:rPr>
            </w:pPr>
          </w:p>
        </w:tc>
        <w:tc>
          <w:tcPr>
            <w:tcW w:w="5236" w:type="dxa"/>
            <w:tcBorders>
              <w:left w:val="single" w:sz="4" w:space="0" w:color="836967"/>
              <w:bottom w:val="single" w:sz="4" w:space="0" w:color="836967"/>
            </w:tcBorders>
            <w:tcMar>
              <w:left w:w="70" w:type="dxa"/>
              <w:right w:w="70" w:type="dxa"/>
            </w:tcMar>
          </w:tcPr>
          <w:p w14:paraId="02EDE3BC" w14:textId="77777777" w:rsidR="009C3702" w:rsidRPr="00DA0FE0" w:rsidRDefault="009C3702" w:rsidP="001E6F24">
            <w:pPr>
              <w:pStyle w:val="Standard"/>
              <w:rPr>
                <w:rFonts w:ascii="Times New Roman" w:eastAsia="Times New Roman" w:hAnsi="Times New Roman" w:cs="Times New Roman"/>
                <w:sz w:val="22"/>
                <w:szCs w:val="22"/>
              </w:rPr>
            </w:pPr>
          </w:p>
        </w:tc>
        <w:tc>
          <w:tcPr>
            <w:tcW w:w="1293" w:type="dxa"/>
            <w:tcBorders>
              <w:left w:val="single" w:sz="4" w:space="0" w:color="836967"/>
              <w:bottom w:val="single" w:sz="4" w:space="0" w:color="836967"/>
            </w:tcBorders>
            <w:tcMar>
              <w:left w:w="70" w:type="dxa"/>
              <w:right w:w="70" w:type="dxa"/>
            </w:tcMar>
          </w:tcPr>
          <w:p w14:paraId="7B46496F" w14:textId="77777777" w:rsidR="009C3702" w:rsidRPr="00DA0FE0" w:rsidRDefault="009C3702" w:rsidP="001E6F24">
            <w:pPr>
              <w:pStyle w:val="Standard"/>
              <w:jc w:val="center"/>
              <w:rPr>
                <w:rFonts w:ascii="Times New Roman" w:eastAsia="Times New Roman" w:hAnsi="Times New Roman" w:cs="Times New Roman"/>
                <w:sz w:val="22"/>
              </w:rPr>
            </w:pPr>
          </w:p>
        </w:tc>
        <w:tc>
          <w:tcPr>
            <w:tcW w:w="1983" w:type="dxa"/>
            <w:tcBorders>
              <w:left w:val="single" w:sz="4" w:space="0" w:color="836967"/>
              <w:bottom w:val="single" w:sz="4" w:space="0" w:color="836967"/>
              <w:right w:val="single" w:sz="4" w:space="0" w:color="836967"/>
            </w:tcBorders>
            <w:tcMar>
              <w:left w:w="70" w:type="dxa"/>
              <w:right w:w="70" w:type="dxa"/>
            </w:tcMar>
          </w:tcPr>
          <w:p w14:paraId="527C12A0" w14:textId="77777777" w:rsidR="009C3702" w:rsidRPr="00DA0FE0" w:rsidRDefault="009C3702" w:rsidP="001E6F24">
            <w:pPr>
              <w:pStyle w:val="Standard"/>
              <w:rPr>
                <w:rFonts w:hint="eastAsia"/>
              </w:rPr>
            </w:pPr>
          </w:p>
        </w:tc>
      </w:tr>
    </w:tbl>
    <w:p w14:paraId="37EF318B" w14:textId="77777777" w:rsidR="009C3702" w:rsidRPr="00DA0FE0" w:rsidRDefault="009C3702" w:rsidP="009C3702">
      <w:pPr>
        <w:pStyle w:val="Standard"/>
        <w:rPr>
          <w:rFonts w:ascii="Times New Roman" w:eastAsia="Times New Roman" w:hAnsi="Times New Roman" w:cs="Times New Roman"/>
          <w:b/>
        </w:rPr>
      </w:pPr>
    </w:p>
    <w:p w14:paraId="6E4C7723" w14:textId="77777777" w:rsidR="009C3702" w:rsidRPr="00DA0FE0" w:rsidRDefault="009C3702" w:rsidP="009C3702">
      <w:pPr>
        <w:pStyle w:val="Standard"/>
        <w:spacing w:before="100"/>
        <w:rPr>
          <w:rFonts w:ascii="Arial" w:hAnsi="Arial" w:cs="Arial"/>
          <w:b/>
          <w:sz w:val="22"/>
          <w:szCs w:val="22"/>
        </w:rPr>
      </w:pPr>
    </w:p>
    <w:p w14:paraId="06836B29" w14:textId="77777777" w:rsidR="009C3702" w:rsidRPr="00DA0FE0" w:rsidRDefault="009C3702" w:rsidP="009C3702">
      <w:pPr>
        <w:pStyle w:val="Standard"/>
        <w:spacing w:before="100"/>
        <w:rPr>
          <w:rFonts w:ascii="Arial" w:hAnsi="Arial" w:cs="Arial"/>
          <w:sz w:val="22"/>
          <w:szCs w:val="22"/>
        </w:rPr>
      </w:pPr>
      <w:r w:rsidRPr="00DA0FE0">
        <w:rPr>
          <w:rFonts w:ascii="Arial" w:hAnsi="Arial" w:cs="Arial"/>
          <w:b/>
          <w:sz w:val="22"/>
          <w:szCs w:val="22"/>
        </w:rPr>
        <w:t>UWAGA!</w:t>
      </w:r>
      <w:r w:rsidRPr="00DA0FE0">
        <w:rPr>
          <w:rFonts w:ascii="Arial" w:hAnsi="Arial" w:cs="Arial"/>
          <w:sz w:val="22"/>
          <w:szCs w:val="22"/>
        </w:rPr>
        <w:t xml:space="preserve"> </w:t>
      </w:r>
    </w:p>
    <w:p w14:paraId="7AB2B7AB" w14:textId="77777777" w:rsidR="009C3702" w:rsidRPr="00DA0FE0" w:rsidRDefault="009C3702" w:rsidP="009C3702">
      <w:pPr>
        <w:pStyle w:val="Standard"/>
        <w:spacing w:before="100"/>
        <w:rPr>
          <w:rFonts w:ascii="Times New Roman" w:hAnsi="Times New Roman" w:cs="Times New Roman"/>
          <w:b/>
          <w:sz w:val="22"/>
          <w:szCs w:val="22"/>
        </w:rPr>
      </w:pPr>
      <w:r w:rsidRPr="00DA0FE0">
        <w:rPr>
          <w:rFonts w:ascii="Times New Roman" w:hAnsi="Times New Roman" w:cs="Times New Roman"/>
          <w:b/>
          <w:sz w:val="22"/>
          <w:szCs w:val="22"/>
        </w:rPr>
        <w:t>Zamawiający wymaga, aby oferowany  sprzęt  winien spełniać wszystkie wymagane parametry techniczne; nie spełnienie któregokolwiek z wymagań spowoduje odrzucenie oferty.</w:t>
      </w:r>
    </w:p>
    <w:p w14:paraId="353D08AB" w14:textId="77777777" w:rsidR="009C3702" w:rsidRPr="00DA0FE0" w:rsidRDefault="009C3702" w:rsidP="009C3702">
      <w:pPr>
        <w:pStyle w:val="Standard"/>
        <w:spacing w:before="100"/>
        <w:rPr>
          <w:rFonts w:ascii="Times New Roman" w:hAnsi="Times New Roman" w:cs="Times New Roman"/>
        </w:rPr>
      </w:pPr>
      <w:r w:rsidRPr="00DA0FE0">
        <w:rPr>
          <w:rFonts w:ascii="Times New Roman" w:hAnsi="Times New Roman"/>
          <w:b/>
          <w:sz w:val="20"/>
          <w:szCs w:val="20"/>
        </w:rPr>
        <w:t>Odczynniki i materiały kontrolne (kontrola codzienna na minimum dwóch poziomach - policzona z uwzględnieniem ważności fiolki na opakowaniu) do wykonania około 99 000 morfologii w trybie CBC +DIFF oraz 4500 morfologii w trybie CBC+DIFF+RET w ciągu 36 miesięcy.</w:t>
      </w:r>
    </w:p>
    <w:p w14:paraId="0182512E" w14:textId="77777777" w:rsidR="009C3702" w:rsidRPr="00DA0FE0" w:rsidRDefault="009C3702" w:rsidP="009C3702">
      <w:pPr>
        <w:pStyle w:val="Standard"/>
        <w:spacing w:before="100"/>
        <w:rPr>
          <w:rFonts w:ascii="Times New Roman" w:hAnsi="Times New Roman" w:cs="Times New Roman"/>
        </w:rPr>
      </w:pPr>
    </w:p>
    <w:p w14:paraId="7F710901" w14:textId="77777777" w:rsidR="009C3702" w:rsidRPr="00DA0FE0" w:rsidRDefault="009C3702" w:rsidP="009C3702">
      <w:pPr>
        <w:pStyle w:val="Standard"/>
        <w:spacing w:before="100"/>
        <w:rPr>
          <w:rFonts w:hint="eastAsia"/>
        </w:rPr>
      </w:pPr>
      <w:r w:rsidRPr="00DA0FE0">
        <w:rPr>
          <w:rFonts w:ascii="Times New Roman" w:hAnsi="Times New Roman" w:cs="Times New Roman"/>
        </w:rPr>
        <w:t>Załącznik należy wypełnić w całości, bez wprowadzania zmian w jego treści- stanowi on integralną cześć oferty- deklarację wykonawcy co do jej treści.</w:t>
      </w:r>
    </w:p>
    <w:p w14:paraId="2E736D84" w14:textId="77777777" w:rsidR="009C3702" w:rsidRPr="00DA0FE0" w:rsidRDefault="009C3702" w:rsidP="009C3702">
      <w:pPr>
        <w:rPr>
          <w:sz w:val="22"/>
          <w:szCs w:val="22"/>
        </w:rPr>
      </w:pPr>
    </w:p>
    <w:p w14:paraId="1D3D339A" w14:textId="77777777" w:rsidR="009C3702" w:rsidRPr="00DA0FE0" w:rsidRDefault="009C3702" w:rsidP="009C3702">
      <w:pPr>
        <w:rPr>
          <w:sz w:val="22"/>
          <w:szCs w:val="22"/>
        </w:rPr>
      </w:pPr>
    </w:p>
    <w:p w14:paraId="4FF15BD5" w14:textId="77777777" w:rsidR="009C3702" w:rsidRPr="00DA0FE0" w:rsidRDefault="009C3702" w:rsidP="009C3702">
      <w:pPr>
        <w:rPr>
          <w:sz w:val="22"/>
          <w:szCs w:val="22"/>
        </w:rPr>
      </w:pPr>
    </w:p>
    <w:p w14:paraId="795CDFC1" w14:textId="77777777" w:rsidR="009C3702" w:rsidRPr="00DA0FE0" w:rsidRDefault="009C3702" w:rsidP="009C3702">
      <w:pPr>
        <w:rPr>
          <w:sz w:val="22"/>
          <w:szCs w:val="22"/>
        </w:rPr>
      </w:pPr>
    </w:p>
    <w:p w14:paraId="7B00E619" w14:textId="77777777" w:rsidR="009C3702" w:rsidRPr="00DA0FE0" w:rsidRDefault="009C3702" w:rsidP="009C3702">
      <w:pPr>
        <w:rPr>
          <w:sz w:val="22"/>
          <w:szCs w:val="22"/>
        </w:rPr>
      </w:pPr>
      <w:r w:rsidRPr="00DA0FE0">
        <w:rPr>
          <w:sz w:val="22"/>
          <w:szCs w:val="22"/>
        </w:rPr>
        <w:t>/miejscowość, data /</w:t>
      </w:r>
      <w:r w:rsidRPr="00DA0FE0">
        <w:rPr>
          <w:sz w:val="22"/>
          <w:szCs w:val="22"/>
        </w:rPr>
        <w:tab/>
      </w:r>
      <w:r w:rsidRPr="00DA0FE0">
        <w:rPr>
          <w:sz w:val="22"/>
          <w:szCs w:val="22"/>
        </w:rPr>
        <w:tab/>
      </w:r>
      <w:r w:rsidRPr="00DA0FE0">
        <w:rPr>
          <w:sz w:val="22"/>
          <w:szCs w:val="22"/>
        </w:rPr>
        <w:tab/>
        <w:t>………………………………………………………..</w:t>
      </w:r>
    </w:p>
    <w:p w14:paraId="6C883801" w14:textId="77777777" w:rsidR="009C3702" w:rsidRPr="00DA0FE0" w:rsidRDefault="009C3702" w:rsidP="009C3702">
      <w:pPr>
        <w:rPr>
          <w:sz w:val="22"/>
          <w:szCs w:val="22"/>
        </w:rPr>
      </w:pPr>
      <w:r w:rsidRPr="00DA0FE0">
        <w:rPr>
          <w:sz w:val="22"/>
          <w:szCs w:val="22"/>
        </w:rPr>
        <w:tab/>
      </w:r>
      <w:r w:rsidRPr="00DA0FE0">
        <w:rPr>
          <w:sz w:val="22"/>
          <w:szCs w:val="22"/>
        </w:rPr>
        <w:tab/>
      </w:r>
      <w:r w:rsidRPr="00DA0FE0">
        <w:rPr>
          <w:sz w:val="22"/>
          <w:szCs w:val="22"/>
        </w:rPr>
        <w:tab/>
      </w:r>
      <w:r w:rsidRPr="00DA0FE0">
        <w:rPr>
          <w:sz w:val="22"/>
          <w:szCs w:val="22"/>
        </w:rPr>
        <w:tab/>
      </w:r>
      <w:r w:rsidRPr="00DA0FE0">
        <w:rPr>
          <w:sz w:val="22"/>
          <w:szCs w:val="22"/>
        </w:rPr>
        <w:tab/>
        <w:t>Czytelny podpis osoby uprawnionej do reprezentacji Wykonawcy /</w:t>
      </w:r>
    </w:p>
    <w:p w14:paraId="40D95FFF" w14:textId="77777777" w:rsidR="009C3702" w:rsidRPr="00DA0FE0" w:rsidRDefault="009C3702" w:rsidP="009C3702">
      <w:pPr>
        <w:snapToGrid w:val="0"/>
        <w:rPr>
          <w:sz w:val="22"/>
          <w:szCs w:val="22"/>
        </w:rPr>
      </w:pPr>
    </w:p>
    <w:p w14:paraId="6E44872F" w14:textId="77777777" w:rsidR="009C3702" w:rsidRPr="00DA0FE0" w:rsidRDefault="009C3702" w:rsidP="009C3702">
      <w:pPr>
        <w:snapToGrid w:val="0"/>
        <w:rPr>
          <w:sz w:val="22"/>
          <w:szCs w:val="22"/>
        </w:rPr>
      </w:pPr>
    </w:p>
    <w:p w14:paraId="56031633" w14:textId="77777777" w:rsidR="009C3702" w:rsidRPr="00DA0FE0" w:rsidRDefault="009C3702" w:rsidP="009C3702"/>
    <w:p w14:paraId="0D3058C9" w14:textId="77777777" w:rsidR="00BC20D3" w:rsidRDefault="00BC20D3"/>
    <w:sectPr w:rsidR="00BC20D3" w:rsidSect="009C3702">
      <w:footerReference w:type="even" r:id="rId4"/>
      <w:footerReference w:type="default" r:id="rId5"/>
      <w:footerReference w:type="first" r:id="rId6"/>
      <w:type w:val="continuous"/>
      <w:pgSz w:w="12240" w:h="15840"/>
      <w:pgMar w:top="1440" w:right="1077" w:bottom="1440" w:left="1077" w:header="0" w:footer="709"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912FB" w14:textId="37C84CD8" w:rsidR="00000000" w:rsidRDefault="009C3702">
    <w:pPr>
      <w:pStyle w:val="Stopka"/>
      <w:ind w:right="360"/>
    </w:pPr>
    <w:r>
      <w:rPr>
        <w:noProof/>
      </w:rPr>
      <mc:AlternateContent>
        <mc:Choice Requires="wps">
          <w:drawing>
            <wp:anchor distT="0" distB="0" distL="0" distR="0" simplePos="0" relativeHeight="251661312" behindDoc="0" locked="0" layoutInCell="1" allowOverlap="1" wp14:anchorId="4F7793BE" wp14:editId="73950AB2">
              <wp:simplePos x="0" y="0"/>
              <wp:positionH relativeFrom="margin">
                <wp:align>right</wp:align>
              </wp:positionH>
              <wp:positionV relativeFrom="paragraph">
                <wp:posOffset>635</wp:posOffset>
              </wp:positionV>
              <wp:extent cx="14605" cy="14605"/>
              <wp:effectExtent l="0" t="0" r="0" b="0"/>
              <wp:wrapSquare wrapText="bothSides"/>
              <wp:docPr id="120229466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2B27D8B3"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0</w:t>
                          </w:r>
                          <w:r>
                            <w:rPr>
                              <w:rStyle w:val="Numerstrony"/>
                              <w:rFonts w:eastAsiaTheme="majorEastAsi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F7793BE" id="_x0000_t202" coordsize="21600,21600" o:spt="202" path="m,l,21600r21600,l21600,xe">
              <v:stroke joinstyle="miter"/>
              <v:path gradientshapeok="t" o:connecttype="rect"/>
            </v:shapetype>
            <v:shape id="Pole tekstowe 5" o:spid="_x0000_s1026" type="#_x0000_t202" style="position:absolute;margin-left:-50.05pt;margin-top:.05pt;width:1.15pt;height:1.15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2B27D8B3"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0</w:t>
                    </w:r>
                    <w:r>
                      <w:rPr>
                        <w:rStyle w:val="Numerstrony"/>
                        <w:rFonts w:eastAsiaTheme="majorEastAsi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06BD0" w14:textId="23975842" w:rsidR="00000000" w:rsidRDefault="009C3702">
    <w:pPr>
      <w:pStyle w:val="Stopka"/>
      <w:ind w:right="360"/>
    </w:pPr>
    <w:r>
      <w:rPr>
        <w:noProof/>
      </w:rPr>
      <mc:AlternateContent>
        <mc:Choice Requires="wps">
          <w:drawing>
            <wp:anchor distT="0" distB="0" distL="0" distR="0" simplePos="0" relativeHeight="251659264" behindDoc="0" locked="0" layoutInCell="0" allowOverlap="1" wp14:anchorId="396BCB79" wp14:editId="037B1312">
              <wp:simplePos x="0" y="0"/>
              <wp:positionH relativeFrom="margin">
                <wp:align>right</wp:align>
              </wp:positionH>
              <wp:positionV relativeFrom="paragraph">
                <wp:posOffset>635</wp:posOffset>
              </wp:positionV>
              <wp:extent cx="76835" cy="175260"/>
              <wp:effectExtent l="0" t="0" r="0" b="0"/>
              <wp:wrapSquare wrapText="bothSides"/>
              <wp:docPr id="50127492"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5260"/>
                      </a:xfrm>
                      <a:prstGeom prst="rect">
                        <a:avLst/>
                      </a:prstGeom>
                      <a:solidFill>
                        <a:srgbClr val="FFFFFF">
                          <a:alpha val="0"/>
                        </a:srgbClr>
                      </a:solidFill>
                    </wps:spPr>
                    <wps:txbx>
                      <w:txbxContent>
                        <w:p w14:paraId="50D4AAD6"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3</w:t>
                          </w:r>
                          <w:r>
                            <w:rPr>
                              <w:rStyle w:val="Numerstrony"/>
                              <w:rFonts w:eastAsiaTheme="majorEastAsi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96BCB79" id="_x0000_t202" coordsize="21600,21600" o:spt="202" path="m,l,21600r21600,l21600,xe">
              <v:stroke joinstyle="miter"/>
              <v:path gradientshapeok="t" o:connecttype="rect"/>
            </v:shapetype>
            <v:shape id="Pole tekstowe 3" o:spid="_x0000_s1027" type="#_x0000_t202" style="position:absolute;margin-left:-45.15pt;margin-top:.05pt;width:6.05pt;height:13.8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9gxsgEAAGMDAAAOAAAAZHJzL2Uyb0RvYy54bWysU8Fu2zAMvQ/YPwi6L04yNC2MOEW3IsOA&#10;YhvQ7QNkWYqFSaIgqrHz96PkOCm221AfZIqiHvkeqe396Cw7qogGfMNXiyVnykvojD80/NfP/Yc7&#10;zjAJ3wkLXjX8pJDf796/2w6hVmvowXYqMgLxWA+h4X1Koa4qlL1yAhcQlKdDDdGJRNt4qLooBkJ3&#10;tlovl5tqgNiFCFIhkvdxOuS7gq+1kum71qgSsw2n2lJZY1nbvFa7ragPUYTeyHMZ4j+qcMJ4SnqB&#10;ehRJsJdo/oFyRkZA0GkhwVWgtZGqcCA2q+VfbJ57EVThQuJguMiEbwcrvx2fw4/I0vgJRmpgIYHh&#10;CeRvJG2qIWB9jsmaYo0UnYmOOrr8JwqMLpK2p4ueakxMkvN2c/fxhjNJJ6vbm/WmyF1d74aI6YsC&#10;x7LR8EjdKvnF8QlTzi7qOSSnQrCm2xtryyYe2s82sqOgzu7LN921oReTd06HU2jBe4VRuE10MrE0&#10;tiMzXdaAUmdPC92JpLFfPQmeh2c24my0syG87IHGaqofw8NLgr0pHK5IZzmpk6WU89TlUXm9L1HX&#10;t7H7AwAA//8DAFBLAwQUAAYACAAAACEAK20gMtkAAAADAQAADwAAAGRycy9kb3ducmV2LnhtbEyP&#10;zU7DMBCE70i8g7VI3KhDDhRCnKpCikQF4qfA3bWXJKq9jrxuG94e5wSn1eysZr6tV5N34oiRh0AK&#10;rhcFCCQT7ECdgs+P9uoWBCdNVrtAqOAHGVbN+VmtKxtO9I7HbepEDiGutII+pbGSkk2PXvMijEjZ&#10;+w7R65Rl7KSN+pTDvZNlUdxIrwfKDb0e8aFHs98evAJu9/z6so6Pb193jlqzed6EJ6PU5cW0vgeR&#10;cEp/xzDjZ3RoMtMuHMiycAryI2neitkr89wpKJdLkE0t/7M3vwAAAP//AwBQSwECLQAUAAYACAAA&#10;ACEAtoM4kv4AAADhAQAAEwAAAAAAAAAAAAAAAAAAAAAAW0NvbnRlbnRfVHlwZXNdLnhtbFBLAQIt&#10;ABQABgAIAAAAIQA4/SH/1gAAAJQBAAALAAAAAAAAAAAAAAAAAC8BAABfcmVscy8ucmVsc1BLAQIt&#10;ABQABgAIAAAAIQAaR9gxsgEAAGMDAAAOAAAAAAAAAAAAAAAAAC4CAABkcnMvZTJvRG9jLnhtbFBL&#10;AQItABQABgAIAAAAIQArbSAy2QAAAAMBAAAPAAAAAAAAAAAAAAAAAAwEAABkcnMvZG93bnJldi54&#10;bWxQSwUGAAAAAAQABADzAAAAEgUAAAAA&#10;" o:allowincell="f" stroked="f">
              <v:fill opacity="0"/>
              <v:textbox style="mso-fit-shape-to-text:t" inset="0,0,0,0">
                <w:txbxContent>
                  <w:p w14:paraId="50D4AAD6"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3</w:t>
                    </w:r>
                    <w:r>
                      <w:rPr>
                        <w:rStyle w:val="Numerstrony"/>
                        <w:rFonts w:eastAsiaTheme="majorEastAsia"/>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CCA8B" w14:textId="4D6D7227" w:rsidR="00000000" w:rsidRDefault="009C3702">
    <w:pPr>
      <w:pStyle w:val="Stopka"/>
      <w:ind w:right="360"/>
    </w:pPr>
    <w:r>
      <w:rPr>
        <w:noProof/>
      </w:rPr>
      <mc:AlternateContent>
        <mc:Choice Requires="wps">
          <w:drawing>
            <wp:anchor distT="0" distB="0" distL="0" distR="0" simplePos="0" relativeHeight="251660288" behindDoc="0" locked="0" layoutInCell="0" allowOverlap="1" wp14:anchorId="7769A690" wp14:editId="35710F87">
              <wp:simplePos x="0" y="0"/>
              <wp:positionH relativeFrom="margin">
                <wp:align>right</wp:align>
              </wp:positionH>
              <wp:positionV relativeFrom="paragraph">
                <wp:posOffset>635</wp:posOffset>
              </wp:positionV>
              <wp:extent cx="76835" cy="175260"/>
              <wp:effectExtent l="0" t="0" r="0" b="0"/>
              <wp:wrapSquare wrapText="bothSides"/>
              <wp:docPr id="98125710"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175260"/>
                      </a:xfrm>
                      <a:prstGeom prst="rect">
                        <a:avLst/>
                      </a:prstGeom>
                      <a:solidFill>
                        <a:srgbClr val="FFFFFF">
                          <a:alpha val="0"/>
                        </a:srgbClr>
                      </a:solidFill>
                    </wps:spPr>
                    <wps:txbx>
                      <w:txbxContent>
                        <w:p w14:paraId="7639231F"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3</w:t>
                          </w:r>
                          <w:r>
                            <w:rPr>
                              <w:rStyle w:val="Numerstrony"/>
                              <w:rFonts w:eastAsiaTheme="majorEastAsi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769A690" id="_x0000_t202" coordsize="21600,21600" o:spt="202" path="m,l,21600r21600,l21600,xe">
              <v:stroke joinstyle="miter"/>
              <v:path gradientshapeok="t" o:connecttype="rect"/>
            </v:shapetype>
            <v:shape id="Pole tekstowe 1" o:spid="_x0000_s1028" type="#_x0000_t202" style="position:absolute;margin-left:-45.15pt;margin-top:.05pt;width:6.05pt;height:13.8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2DswEAAGMDAAAOAAAAZHJzL2Uyb0RvYy54bWysU8Fu2zAMvQ/YPwi6L04yNC2MOEW3IsOA&#10;YhvQ7QNkWYqFSaIgqrHz96PkOCm221AfZIqiHvkeqe396Cw7qogGfMNXiyVnykvojD80/NfP/Yc7&#10;zjAJ3wkLXjX8pJDf796/2w6hVmvowXYqMgLxWA+h4X1Koa4qlL1yAhcQlKdDDdGJRNt4qLooBkJ3&#10;tlovl5tqgNiFCFIhkvdxOuS7gq+1kum71qgSsw2n2lJZY1nbvFa7ragPUYTeyHMZ4j+qcMJ4SnqB&#10;ehRJsJdo/oFyRkZA0GkhwVWgtZGqcCA2q+VfbJ57EVThQuJguMiEbwcrvx2fw4/I0vgJRmpgIYHh&#10;CeRvJG2qIWB9jsmaYo0UnYmOOrr8JwqMLpK2p4ueakxMkvN2c/fxhjNJJ6vbm/WmyF1d74aI6YsC&#10;x7LR8EjdKvnF8QlTzi7qOSSnQrCm2xtryyYe2s82sqOgzu7LN921oReTd06HU2jBe4VRuE10MrE0&#10;tiMzXcPXeSiyp4XuRNLYr54Ez8MzG3E22tkQXvZAYzXVj+HhJcHeFA5XpLOc1MlSynnq8qi83peo&#10;69vY/QEAAP//AwBQSwMEFAAGAAgAAAAhACttIDLZAAAAAwEAAA8AAABkcnMvZG93bnJldi54bWxM&#10;j81OwzAQhO9IvIO1SNyoQw4UQpyqQopEBeKnwN21lySqvY68bhveHucEp9XsrGa+rVeTd+KIkYdA&#10;Cq4XBQgkE+xAnYLPj/bqFgQnTVa7QKjgBxlWzflZrSsbTvSOx23qRA4hrrSCPqWxkpJNj17zIoxI&#10;2fsO0euUZeykjfqUw72TZVHcSK8Hyg29HvGhR7PfHrwCbvf8+rKOj29fd45as3nehCej1OXFtL4H&#10;kXBKf8cw42d0aDLTLhzIsnAK8iNp3orZK/PcKSiXS5BNLf+zN78AAAD//wMAUEsBAi0AFAAGAAgA&#10;AAAhALaDOJL+AAAA4QEAABMAAAAAAAAAAAAAAAAAAAAAAFtDb250ZW50X1R5cGVzXS54bWxQSwEC&#10;LQAUAAYACAAAACEAOP0h/9YAAACUAQAACwAAAAAAAAAAAAAAAAAvAQAAX3JlbHMvLnJlbHNQSwEC&#10;LQAUAAYACAAAACEASvSdg7MBAABjAwAADgAAAAAAAAAAAAAAAAAuAgAAZHJzL2Uyb0RvYy54bWxQ&#10;SwECLQAUAAYACAAAACEAK20gMtkAAAADAQAADwAAAAAAAAAAAAAAAAANBAAAZHJzL2Rvd25yZXYu&#10;eG1sUEsFBgAAAAAEAAQA8wAAABMFAAAAAA==&#10;" o:allowincell="f" stroked="f">
              <v:fill opacity="0"/>
              <v:textbox style="mso-fit-shape-to-text:t" inset="0,0,0,0">
                <w:txbxContent>
                  <w:p w14:paraId="7639231F" w14:textId="77777777" w:rsidR="00000000" w:rsidRDefault="00000000">
                    <w:pPr>
                      <w:pStyle w:val="Stopka"/>
                      <w:rPr>
                        <w:rStyle w:val="Numerstrony"/>
                        <w:rFonts w:eastAsiaTheme="majorEastAsia"/>
                      </w:rPr>
                    </w:pPr>
                    <w:r>
                      <w:rPr>
                        <w:rStyle w:val="Numerstrony"/>
                        <w:rFonts w:eastAsiaTheme="majorEastAsia"/>
                      </w:rPr>
                      <w:fldChar w:fldCharType="begin"/>
                    </w:r>
                    <w:r>
                      <w:rPr>
                        <w:rStyle w:val="Numerstrony"/>
                        <w:rFonts w:eastAsiaTheme="majorEastAsia"/>
                      </w:rPr>
                      <w:instrText>PAGE</w:instrText>
                    </w:r>
                    <w:r>
                      <w:rPr>
                        <w:rStyle w:val="Numerstrony"/>
                        <w:rFonts w:eastAsiaTheme="majorEastAsia"/>
                      </w:rPr>
                      <w:fldChar w:fldCharType="separate"/>
                    </w:r>
                    <w:r>
                      <w:rPr>
                        <w:rStyle w:val="Numerstrony"/>
                        <w:rFonts w:eastAsiaTheme="majorEastAsia"/>
                      </w:rPr>
                      <w:t>3</w:t>
                    </w:r>
                    <w:r>
                      <w:rPr>
                        <w:rStyle w:val="Numerstrony"/>
                        <w:rFonts w:eastAsiaTheme="majorEastAsia"/>
                      </w:rPr>
                      <w:fldChar w:fldCharType="end"/>
                    </w:r>
                  </w:p>
                </w:txbxContent>
              </v:textbox>
              <w10:wrap type="square"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702"/>
    <w:rsid w:val="000E33A5"/>
    <w:rsid w:val="00550A7A"/>
    <w:rsid w:val="00712755"/>
    <w:rsid w:val="00842297"/>
    <w:rsid w:val="00980A34"/>
    <w:rsid w:val="009C3702"/>
    <w:rsid w:val="009C500D"/>
    <w:rsid w:val="00A524E3"/>
    <w:rsid w:val="00BC20D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29927"/>
  <w15:chartTrackingRefBased/>
  <w15:docId w15:val="{D3F7A160-AEAB-45CC-8E50-F75ADC099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3702"/>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Nagwek1">
    <w:name w:val="heading 1"/>
    <w:basedOn w:val="Normalny"/>
    <w:next w:val="Normalny"/>
    <w:link w:val="Nagwek1Znak"/>
    <w:uiPriority w:val="9"/>
    <w:qFormat/>
    <w:rsid w:val="009C3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9C3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C370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C370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C370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C3702"/>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C3702"/>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C3702"/>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C3702"/>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C370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qFormat/>
    <w:rsid w:val="009C370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C370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C370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C370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C370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C370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C370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C3702"/>
    <w:rPr>
      <w:rFonts w:eastAsiaTheme="majorEastAsia" w:cstheme="majorBidi"/>
      <w:color w:val="272727" w:themeColor="text1" w:themeTint="D8"/>
    </w:rPr>
  </w:style>
  <w:style w:type="paragraph" w:styleId="Tytu">
    <w:name w:val="Title"/>
    <w:basedOn w:val="Normalny"/>
    <w:next w:val="Normalny"/>
    <w:link w:val="TytuZnak"/>
    <w:uiPriority w:val="10"/>
    <w:qFormat/>
    <w:rsid w:val="009C370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C370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C370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C370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C3702"/>
    <w:pPr>
      <w:spacing w:before="160"/>
      <w:jc w:val="center"/>
    </w:pPr>
    <w:rPr>
      <w:i/>
      <w:iCs/>
      <w:color w:val="404040" w:themeColor="text1" w:themeTint="BF"/>
    </w:rPr>
  </w:style>
  <w:style w:type="character" w:customStyle="1" w:styleId="CytatZnak">
    <w:name w:val="Cytat Znak"/>
    <w:basedOn w:val="Domylnaczcionkaakapitu"/>
    <w:link w:val="Cytat"/>
    <w:uiPriority w:val="29"/>
    <w:rsid w:val="009C3702"/>
    <w:rPr>
      <w:i/>
      <w:iCs/>
      <w:color w:val="404040" w:themeColor="text1" w:themeTint="BF"/>
    </w:rPr>
  </w:style>
  <w:style w:type="paragraph" w:styleId="Akapitzlist">
    <w:name w:val="List Paragraph"/>
    <w:basedOn w:val="Normalny"/>
    <w:uiPriority w:val="34"/>
    <w:qFormat/>
    <w:rsid w:val="009C3702"/>
    <w:pPr>
      <w:ind w:left="720"/>
      <w:contextualSpacing/>
    </w:pPr>
  </w:style>
  <w:style w:type="character" w:styleId="Wyrnienieintensywne">
    <w:name w:val="Intense Emphasis"/>
    <w:basedOn w:val="Domylnaczcionkaakapitu"/>
    <w:uiPriority w:val="21"/>
    <w:qFormat/>
    <w:rsid w:val="009C3702"/>
    <w:rPr>
      <w:i/>
      <w:iCs/>
      <w:color w:val="0F4761" w:themeColor="accent1" w:themeShade="BF"/>
    </w:rPr>
  </w:style>
  <w:style w:type="paragraph" w:styleId="Cytatintensywny">
    <w:name w:val="Intense Quote"/>
    <w:basedOn w:val="Normalny"/>
    <w:next w:val="Normalny"/>
    <w:link w:val="CytatintensywnyZnak"/>
    <w:uiPriority w:val="30"/>
    <w:qFormat/>
    <w:rsid w:val="009C3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C3702"/>
    <w:rPr>
      <w:i/>
      <w:iCs/>
      <w:color w:val="0F4761" w:themeColor="accent1" w:themeShade="BF"/>
    </w:rPr>
  </w:style>
  <w:style w:type="character" w:styleId="Odwoanieintensywne">
    <w:name w:val="Intense Reference"/>
    <w:basedOn w:val="Domylnaczcionkaakapitu"/>
    <w:uiPriority w:val="32"/>
    <w:qFormat/>
    <w:rsid w:val="009C3702"/>
    <w:rPr>
      <w:b/>
      <w:bCs/>
      <w:smallCaps/>
      <w:color w:val="0F4761" w:themeColor="accent1" w:themeShade="BF"/>
      <w:spacing w:val="5"/>
    </w:rPr>
  </w:style>
  <w:style w:type="character" w:customStyle="1" w:styleId="StopkaZnak">
    <w:name w:val="Stopka Znak"/>
    <w:basedOn w:val="Domylnaczcionkaakapitu"/>
    <w:link w:val="Stopka"/>
    <w:qFormat/>
    <w:rsid w:val="009C3702"/>
    <w:rPr>
      <w:rFonts w:ascii="Times New Roman" w:eastAsia="Times New Roman" w:hAnsi="Times New Roman" w:cs="Times New Roman"/>
      <w:sz w:val="24"/>
      <w:szCs w:val="24"/>
      <w:lang w:val="en-US" w:eastAsia="ar-SA"/>
    </w:rPr>
  </w:style>
  <w:style w:type="character" w:styleId="Numerstrony">
    <w:name w:val="page number"/>
    <w:basedOn w:val="Domylnaczcionkaakapitu"/>
    <w:qFormat/>
    <w:rsid w:val="009C3702"/>
  </w:style>
  <w:style w:type="paragraph" w:styleId="Stopka">
    <w:name w:val="footer"/>
    <w:basedOn w:val="Normalny"/>
    <w:link w:val="StopkaZnak"/>
    <w:rsid w:val="009C3702"/>
    <w:pPr>
      <w:tabs>
        <w:tab w:val="center" w:pos="4536"/>
        <w:tab w:val="right" w:pos="9072"/>
      </w:tabs>
    </w:pPr>
    <w:rPr>
      <w:kern w:val="2"/>
      <w:lang w:val="en-US"/>
      <w14:ligatures w14:val="standardContextual"/>
    </w:rPr>
  </w:style>
  <w:style w:type="character" w:customStyle="1" w:styleId="StopkaZnak1">
    <w:name w:val="Stopka Znak1"/>
    <w:basedOn w:val="Domylnaczcionkaakapitu"/>
    <w:uiPriority w:val="99"/>
    <w:semiHidden/>
    <w:rsid w:val="009C3702"/>
    <w:rPr>
      <w:rFonts w:ascii="Times New Roman" w:eastAsia="Times New Roman" w:hAnsi="Times New Roman" w:cs="Times New Roman"/>
      <w:kern w:val="0"/>
      <w:sz w:val="24"/>
      <w:szCs w:val="24"/>
      <w:lang w:eastAsia="ar-SA"/>
      <w14:ligatures w14:val="none"/>
    </w:rPr>
  </w:style>
  <w:style w:type="paragraph" w:customStyle="1" w:styleId="Standard">
    <w:name w:val="Standard"/>
    <w:qFormat/>
    <w:rsid w:val="009C3702"/>
    <w:pPr>
      <w:widowControl w:val="0"/>
      <w:suppressAutoHyphens/>
      <w:spacing w:after="0" w:line="240" w:lineRule="auto"/>
      <w:textAlignment w:val="baseline"/>
    </w:pPr>
    <w:rPr>
      <w:rFonts w:ascii="Liberation Serif" w:eastAsia="SimSun" w:hAnsi="Liberation Serif" w:cs="Mangal"/>
      <w:sz w:val="24"/>
      <w:szCs w:val="24"/>
      <w:lang w:eastAsia="zh-CN" w:bidi="hi-IN"/>
      <w14:ligatures w14:val="none"/>
    </w:rPr>
  </w:style>
  <w:style w:type="paragraph" w:customStyle="1" w:styleId="Style10">
    <w:name w:val="Style10"/>
    <w:basedOn w:val="Normalny"/>
    <w:qFormat/>
    <w:rsid w:val="009C3702"/>
    <w:pPr>
      <w:overflowPunct w:val="0"/>
      <w:spacing w:after="200" w:line="276" w:lineRule="auto"/>
      <w:jc w:val="center"/>
    </w:pPr>
    <w:rPr>
      <w:rFonts w:ascii="Trebuchet MS" w:eastAsia="Calibri" w:hAnsi="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808</Words>
  <Characters>4852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2025-02-10T10:22:00Z</dcterms:created>
  <dcterms:modified xsi:type="dcterms:W3CDTF">2025-02-10T11:50:00Z</dcterms:modified>
</cp:coreProperties>
</file>