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039154F3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425C94">
        <w:rPr>
          <w:rFonts w:ascii="Times New Roman" w:hAnsi="Times New Roman" w:cs="Times New Roman"/>
          <w:sz w:val="20"/>
          <w:szCs w:val="20"/>
        </w:rPr>
        <w:t>1</w:t>
      </w:r>
      <w:r w:rsidR="007474DE">
        <w:rPr>
          <w:rFonts w:ascii="Times New Roman" w:hAnsi="Times New Roman" w:cs="Times New Roman"/>
          <w:sz w:val="20"/>
          <w:szCs w:val="20"/>
        </w:rPr>
        <w:t>5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7474DE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5022BF">
        <w:rPr>
          <w:rFonts w:ascii="Times New Roman" w:hAnsi="Times New Roman" w:cs="Times New Roman"/>
          <w:sz w:val="20"/>
          <w:szCs w:val="20"/>
        </w:rPr>
        <w:t>D</w:t>
      </w: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691246AC" w14:textId="77777777" w:rsidR="005022BF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5022BF">
        <w:rPr>
          <w:rFonts w:cs="Times New Roman"/>
          <w:b/>
          <w:bCs/>
        </w:rPr>
        <w:t>:</w:t>
      </w:r>
    </w:p>
    <w:p w14:paraId="1DF85EA9" w14:textId="4627ECB4" w:rsidR="00D15C5F" w:rsidRDefault="00E50488" w:rsidP="00D15C5F">
      <w:pPr>
        <w:pStyle w:val="Textbody"/>
        <w:rPr>
          <w:b/>
          <w:sz w:val="22"/>
          <w:szCs w:val="22"/>
          <w:u w:val="single"/>
        </w:rPr>
      </w:pPr>
      <w:r w:rsidRPr="00FB714A">
        <w:rPr>
          <w:b/>
        </w:rPr>
        <w:t xml:space="preserve">  </w:t>
      </w:r>
      <w:r w:rsidR="007474DE" w:rsidRPr="007474DE">
        <w:rPr>
          <w:rFonts w:eastAsia="Times New Roman" w:cs="Times New Roman"/>
          <w:b/>
          <w:bCs/>
          <w:color w:val="000000"/>
          <w:kern w:val="0"/>
          <w:sz w:val="22"/>
          <w:szCs w:val="22"/>
          <w:u w:val="single"/>
          <w:lang w:eastAsia="pl-PL" w:bidi="ar-SA"/>
        </w:rPr>
        <w:t>Pakiet 1 – Odczynniki do biochemii immunochemii z dzierżawą analizatora biochemiczno- immunochemicznego wraz z backupem</w:t>
      </w:r>
      <w:r w:rsidR="005004D9">
        <w:rPr>
          <w:b/>
          <w:sz w:val="22"/>
          <w:szCs w:val="22"/>
          <w:u w:val="single"/>
        </w:rPr>
        <w:t>.</w:t>
      </w:r>
    </w:p>
    <w:p w14:paraId="28012E36" w14:textId="77777777" w:rsidR="005004D9" w:rsidRDefault="005004D9" w:rsidP="00D15C5F">
      <w:pPr>
        <w:pStyle w:val="Textbody"/>
        <w:rPr>
          <w:b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1215"/>
        <w:gridCol w:w="2410"/>
        <w:gridCol w:w="3299"/>
        <w:gridCol w:w="1770"/>
      </w:tblGrid>
      <w:tr w:rsidR="005004D9" w:rsidRPr="00FB714A" w14:paraId="29B597B1" w14:textId="77777777" w:rsidTr="008B16C5">
        <w:tc>
          <w:tcPr>
            <w:tcW w:w="594" w:type="dxa"/>
          </w:tcPr>
          <w:p w14:paraId="607955BC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215" w:type="dxa"/>
          </w:tcPr>
          <w:p w14:paraId="29DB07CE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410" w:type="dxa"/>
          </w:tcPr>
          <w:p w14:paraId="52C74300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3299" w:type="dxa"/>
          </w:tcPr>
          <w:p w14:paraId="416236AF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70" w:type="dxa"/>
          </w:tcPr>
          <w:p w14:paraId="6FD8AFB0" w14:textId="77777777" w:rsidR="005004D9" w:rsidRPr="00FB714A" w:rsidRDefault="005004D9" w:rsidP="00784A5C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6D8E427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5004D9" w:rsidRPr="00C17E63" w14:paraId="6999E2E4" w14:textId="77777777" w:rsidTr="008B16C5">
        <w:tc>
          <w:tcPr>
            <w:tcW w:w="594" w:type="dxa"/>
          </w:tcPr>
          <w:p w14:paraId="36892DE1" w14:textId="77777777" w:rsidR="005004D9" w:rsidRPr="00FB714A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215" w:type="dxa"/>
          </w:tcPr>
          <w:p w14:paraId="47B1DCA4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0D6A597F" w14:textId="77777777" w:rsidR="005004D9" w:rsidRPr="00C17E63" w:rsidRDefault="005004D9" w:rsidP="00784A5C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 - Dodatkowe cechy analizatora</w:t>
            </w:r>
          </w:p>
        </w:tc>
        <w:tc>
          <w:tcPr>
            <w:tcW w:w="3299" w:type="dxa"/>
          </w:tcPr>
          <w:p w14:paraId="43F80F6A" w14:textId="3054B16B" w:rsidR="005004D9" w:rsidRPr="00C17E63" w:rsidRDefault="005004D9" w:rsidP="00784A5C">
            <w:pPr>
              <w:ind w:left="109"/>
              <w:rPr>
                <w:rFonts w:ascii="Times New Roman" w:eastAsia="Calibri" w:hAnsi="Times New Roman" w:cs="Times New Roman"/>
                <w:kern w:val="0"/>
                <w:lang w:eastAsia="en-US" w:bidi="ar-SA"/>
              </w:rPr>
            </w:pPr>
            <w:r w:rsidRPr="00C17E63">
              <w:rPr>
                <w:rFonts w:ascii="Times New Roman" w:hAnsi="Times New Roman" w:cs="Times New Roman"/>
              </w:rPr>
              <w:t xml:space="preserve"> 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 xml:space="preserve">Możliwość pomiaru obecności substancji interferujących bezpośrednio w próbce (bilirubina, lipemia, hemoliza) </w:t>
            </w:r>
            <w:r w:rsidR="007474DE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bez dodatkowych kosztów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.</w:t>
            </w:r>
            <w:r w:rsidRPr="00C17E63">
              <w:rPr>
                <w:rFonts w:ascii="Times New Roman" w:eastAsia="Calibri" w:hAnsi="Times New Roman" w:cs="Times New Roman"/>
                <w:spacing w:val="-6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>–</w:t>
            </w:r>
            <w:r w:rsidRPr="00C17E63">
              <w:rPr>
                <w:rFonts w:ascii="Times New Roman" w:eastAsia="Calibri" w:hAnsi="Times New Roman" w:cs="Times New Roman"/>
                <w:spacing w:val="-9"/>
                <w:kern w:val="0"/>
                <w:lang w:eastAsia="en-US" w:bidi="ar-SA"/>
              </w:rPr>
              <w:t xml:space="preserve"> </w:t>
            </w:r>
            <w:r w:rsidRPr="00C17E63">
              <w:rPr>
                <w:rFonts w:ascii="Times New Roman" w:eastAsia="Calibri" w:hAnsi="Times New Roman" w:cs="Times New Roman"/>
                <w:kern w:val="0"/>
                <w:lang w:eastAsia="en-US" w:bidi="ar-SA"/>
              </w:rPr>
              <w:t xml:space="preserve">10 </w:t>
            </w:r>
            <w:r w:rsidRPr="00C17E63">
              <w:rPr>
                <w:rFonts w:ascii="Times New Roman" w:eastAsia="Calibri" w:hAnsi="Times New Roman" w:cs="Times New Roman"/>
                <w:spacing w:val="-4"/>
                <w:kern w:val="0"/>
                <w:lang w:eastAsia="en-US" w:bidi="ar-SA"/>
              </w:rPr>
              <w:t>pkt.</w:t>
            </w:r>
            <w:r w:rsidRPr="00C17E63">
              <w:rPr>
                <w:rFonts w:ascii="Times New Roman" w:eastAsia="Georgia" w:hAnsi="Times New Roman" w:cs="Times New Roman"/>
                <w:color w:val="000000"/>
              </w:rPr>
              <w:t xml:space="preserve">  </w:t>
            </w:r>
          </w:p>
        </w:tc>
        <w:tc>
          <w:tcPr>
            <w:tcW w:w="1770" w:type="dxa"/>
          </w:tcPr>
          <w:p w14:paraId="1E742AC7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3ED85266" w14:textId="77777777" w:rsidTr="008B16C5">
        <w:tc>
          <w:tcPr>
            <w:tcW w:w="594" w:type="dxa"/>
          </w:tcPr>
          <w:p w14:paraId="4FA2336C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215" w:type="dxa"/>
          </w:tcPr>
          <w:p w14:paraId="1C9B93F9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178873DA" w14:textId="2EBDED96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B – Metodyka oznaczeń</w:t>
            </w:r>
          </w:p>
        </w:tc>
        <w:tc>
          <w:tcPr>
            <w:tcW w:w="3299" w:type="dxa"/>
          </w:tcPr>
          <w:p w14:paraId="68D1351B" w14:textId="2415E09E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Udokumentowany brak interferencji bilirubiny w stężeniach do 20 mg/dl na jakość oznaczania kreatyniny.</w:t>
            </w:r>
            <w:r w:rsidR="005004D9" w:rsidRPr="00C17E63">
              <w:rPr>
                <w:rFonts w:eastAsia="Calibri" w:cs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="005004D9"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–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5</w:t>
            </w:r>
            <w:r w:rsidR="005004D9"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 </w:t>
            </w:r>
            <w:r w:rsidR="005004D9" w:rsidRPr="00C17E63">
              <w:rPr>
                <w:rFonts w:eastAsia="Calibri" w:cs="Times New Roman"/>
                <w:spacing w:val="-4"/>
                <w:sz w:val="22"/>
                <w:szCs w:val="22"/>
                <w:lang w:eastAsia="en-US"/>
              </w:rPr>
              <w:t>pkt.</w:t>
            </w:r>
          </w:p>
        </w:tc>
        <w:tc>
          <w:tcPr>
            <w:tcW w:w="1770" w:type="dxa"/>
          </w:tcPr>
          <w:p w14:paraId="3CEF2E84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10DE6399" w14:textId="77777777" w:rsidTr="008B16C5">
        <w:tc>
          <w:tcPr>
            <w:tcW w:w="594" w:type="dxa"/>
          </w:tcPr>
          <w:p w14:paraId="0BDDE1BC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215" w:type="dxa"/>
          </w:tcPr>
          <w:p w14:paraId="5A299222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07D7FBF8" w14:textId="3640EADE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C</w:t>
            </w:r>
            <w:r w:rsidRPr="007474DE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 xml:space="preserve"> – Metodyka oznaczeń</w:t>
            </w:r>
          </w:p>
        </w:tc>
        <w:tc>
          <w:tcPr>
            <w:tcW w:w="3299" w:type="dxa"/>
          </w:tcPr>
          <w:p w14:paraId="46557EAD" w14:textId="5E91FF14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Udokumentowany brak interferencji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triglicerydów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w stężeniach do 700 mg/dl na jakość oznaczania bilirubiny</w:t>
            </w:r>
            <w:r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5004D9"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–</w:t>
            </w:r>
            <w:r w:rsidR="005004D9" w:rsidRPr="00C17E63">
              <w:rPr>
                <w:rFonts w:eastAsia="Calibri" w:cs="Times New Roman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5004D9" w:rsidRPr="00C17E63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5</w:t>
            </w:r>
            <w:r w:rsidR="005004D9" w:rsidRPr="00C17E63">
              <w:rPr>
                <w:rFonts w:eastAsia="Calibri" w:cs="Times New Roman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5004D9" w:rsidRPr="00C17E63">
              <w:rPr>
                <w:rFonts w:eastAsia="Calibri" w:cs="Times New Roman"/>
                <w:spacing w:val="-4"/>
                <w:kern w:val="0"/>
                <w:sz w:val="22"/>
                <w:szCs w:val="22"/>
                <w:lang w:eastAsia="en-US" w:bidi="ar-SA"/>
              </w:rPr>
              <w:t>pkt.</w:t>
            </w:r>
          </w:p>
        </w:tc>
        <w:tc>
          <w:tcPr>
            <w:tcW w:w="1770" w:type="dxa"/>
          </w:tcPr>
          <w:p w14:paraId="58E97FF3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671A32FD" w14:textId="77777777" w:rsidTr="008B16C5">
        <w:tc>
          <w:tcPr>
            <w:tcW w:w="594" w:type="dxa"/>
          </w:tcPr>
          <w:p w14:paraId="3E9FA1A6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215" w:type="dxa"/>
          </w:tcPr>
          <w:p w14:paraId="0D093892" w14:textId="77777777" w:rsidR="005004D9" w:rsidRPr="00C17E63" w:rsidRDefault="005004D9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35CBF5A8" w14:textId="1CB9ACBD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 xml:space="preserve">D -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Dodatkowe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cechy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analizatora</w:t>
            </w:r>
          </w:p>
        </w:tc>
        <w:tc>
          <w:tcPr>
            <w:tcW w:w="3299" w:type="dxa"/>
          </w:tcPr>
          <w:p w14:paraId="6C9C05D8" w14:textId="79423725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Objętość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martwa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próbki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/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materiału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kontrolnego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w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naczyńku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próbkowym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(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pozostała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w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kubku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po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analizie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),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nie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większa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niż</w:t>
            </w:r>
            <w:proofErr w:type="spellEnd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 30 </w:t>
            </w:r>
            <w:proofErr w:type="spellStart"/>
            <w:r w:rsidRPr="007474DE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pl-PL" w:bidi="ar-SA"/>
              </w:rPr>
              <w:t>ul</w:t>
            </w:r>
            <w:proofErr w:type="spellEnd"/>
            <w:r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 </w:t>
            </w:r>
            <w:r w:rsidR="005004D9" w:rsidRPr="00C17E63">
              <w:rPr>
                <w:rFonts w:eastAsia="Calibri" w:cs="Times New Roman"/>
                <w:sz w:val="22"/>
                <w:szCs w:val="22"/>
                <w:lang w:eastAsia="en-US"/>
              </w:rPr>
              <w:t>– 5 pkt.</w:t>
            </w:r>
          </w:p>
        </w:tc>
        <w:tc>
          <w:tcPr>
            <w:tcW w:w="1770" w:type="dxa"/>
          </w:tcPr>
          <w:p w14:paraId="38992B2D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5004D9" w:rsidRPr="00C17E63" w14:paraId="49518805" w14:textId="77777777" w:rsidTr="008B16C5">
        <w:tc>
          <w:tcPr>
            <w:tcW w:w="594" w:type="dxa"/>
          </w:tcPr>
          <w:p w14:paraId="73230559" w14:textId="77777777" w:rsidR="005004D9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15" w:type="dxa"/>
          </w:tcPr>
          <w:p w14:paraId="58AC4442" w14:textId="0E9607E8" w:rsidR="005004D9" w:rsidRPr="00C17E63" w:rsidRDefault="007474DE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63C37017" w14:textId="406FBB7E" w:rsidR="005004D9" w:rsidRPr="00C17E63" w:rsidRDefault="007474DE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E - System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uzdatniania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wody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 xml:space="preserve">dla 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>aparatu</w:t>
            </w:r>
          </w:p>
        </w:tc>
        <w:tc>
          <w:tcPr>
            <w:tcW w:w="3299" w:type="dxa"/>
          </w:tcPr>
          <w:p w14:paraId="41171823" w14:textId="77777777" w:rsidR="007474DE" w:rsidRPr="007474DE" w:rsidRDefault="007474DE" w:rsidP="007474DE">
            <w:pPr>
              <w:widowControl/>
              <w:suppressAutoHyphens w:val="0"/>
              <w:autoSpaceDN/>
              <w:spacing w:before="100" w:beforeAutospacing="1" w:line="288" w:lineRule="auto"/>
              <w:ind w:left="108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 w:bidi="ar-SA"/>
              </w:rPr>
            </w:pP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Brak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wymogu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instalacji</w:t>
            </w:r>
            <w:r w:rsidRPr="007474DE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 w:bidi="ar-SA"/>
              </w:rPr>
              <w:t xml:space="preserve"> systemu</w:t>
            </w:r>
          </w:p>
          <w:p w14:paraId="5BB01392" w14:textId="2E05DAE5" w:rsidR="005004D9" w:rsidRPr="00C17E63" w:rsidRDefault="007474DE" w:rsidP="007474DE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uzdatniania</w:t>
            </w:r>
            <w:r w:rsidRPr="007474DE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 xml:space="preserve">wody </w:t>
            </w:r>
            <w:r w:rsidR="005004D9" w:rsidRPr="00C17E63">
              <w:rPr>
                <w:rFonts w:eastAsia="Calibri" w:cs="Times New Roman"/>
                <w:sz w:val="22"/>
                <w:szCs w:val="22"/>
                <w:lang w:eastAsia="en-US"/>
              </w:rPr>
              <w:t xml:space="preserve">– 5 </w:t>
            </w:r>
            <w:r w:rsidR="005004D9" w:rsidRPr="00C17E63">
              <w:rPr>
                <w:rFonts w:eastAsia="Calibri" w:cs="Times New Roman"/>
                <w:spacing w:val="-4"/>
                <w:sz w:val="22"/>
                <w:szCs w:val="22"/>
                <w:lang w:eastAsia="en-US"/>
              </w:rPr>
              <w:t>pkt.</w:t>
            </w:r>
          </w:p>
        </w:tc>
        <w:tc>
          <w:tcPr>
            <w:tcW w:w="1770" w:type="dxa"/>
          </w:tcPr>
          <w:p w14:paraId="0CEBB37D" w14:textId="77777777" w:rsidR="005004D9" w:rsidRPr="00C17E63" w:rsidRDefault="005004D9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7474DE" w:rsidRPr="00C17E63" w14:paraId="5DEFF7BB" w14:textId="77777777" w:rsidTr="008B16C5">
        <w:tc>
          <w:tcPr>
            <w:tcW w:w="594" w:type="dxa"/>
          </w:tcPr>
          <w:p w14:paraId="3ECD5B6E" w14:textId="403FF450" w:rsidR="007474DE" w:rsidRDefault="007474DE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1215" w:type="dxa"/>
          </w:tcPr>
          <w:p w14:paraId="67395271" w14:textId="3398D748" w:rsidR="007474DE" w:rsidRPr="00C17E63" w:rsidRDefault="007474DE" w:rsidP="00784A5C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C17E63">
              <w:rPr>
                <w:rFonts w:cs="Times New Roman"/>
                <w:sz w:val="22"/>
                <w:szCs w:val="22"/>
              </w:rPr>
              <w:t>Analizator</w:t>
            </w:r>
          </w:p>
        </w:tc>
        <w:tc>
          <w:tcPr>
            <w:tcW w:w="2410" w:type="dxa"/>
          </w:tcPr>
          <w:p w14:paraId="1D1C9DD5" w14:textId="0B644294" w:rsidR="007474DE" w:rsidRPr="007474DE" w:rsidRDefault="007474DE" w:rsidP="00784A5C">
            <w:pPr>
              <w:pStyle w:val="Textbody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F - Codzienne</w:t>
            </w:r>
            <w:r w:rsidRPr="007474DE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czynności</w:t>
            </w:r>
            <w:r w:rsidRPr="007474DE">
              <w:rPr>
                <w:rFonts w:ascii="Calibri" w:eastAsia="Times New Roman" w:hAnsi="Calibri" w:cs="Calibri"/>
                <w:color w:val="000000"/>
                <w:spacing w:val="-12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konserwacyjne</w:t>
            </w:r>
            <w:r w:rsidRPr="007474DE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i związany z tym czas postoju aparatu</w:t>
            </w:r>
          </w:p>
        </w:tc>
        <w:tc>
          <w:tcPr>
            <w:tcW w:w="3299" w:type="dxa"/>
          </w:tcPr>
          <w:p w14:paraId="6DDFB39E" w14:textId="1AEB871C" w:rsidR="007474DE" w:rsidRPr="007474DE" w:rsidRDefault="007474DE" w:rsidP="007474DE">
            <w:pPr>
              <w:widowControl/>
              <w:suppressAutoHyphens w:val="0"/>
              <w:autoSpaceDN/>
              <w:spacing w:before="100" w:beforeAutospacing="1" w:line="288" w:lineRule="auto"/>
              <w:ind w:left="108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7474D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 w:bidi="ar-SA"/>
              </w:rPr>
              <w:t>Okres konserwacji ≤ 15 min – 5 pkt.</w:t>
            </w:r>
          </w:p>
        </w:tc>
        <w:tc>
          <w:tcPr>
            <w:tcW w:w="1770" w:type="dxa"/>
          </w:tcPr>
          <w:p w14:paraId="39FA99ED" w14:textId="77777777" w:rsidR="007474DE" w:rsidRPr="00C17E63" w:rsidRDefault="007474DE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1DB7AB" w14:textId="770D7A1A" w:rsidR="00E80CEF" w:rsidRDefault="00D15C5F" w:rsidP="008B16C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5C94"/>
    <w:rsid w:val="00487E2E"/>
    <w:rsid w:val="004C705B"/>
    <w:rsid w:val="00500279"/>
    <w:rsid w:val="005004D9"/>
    <w:rsid w:val="005022BF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474DE"/>
    <w:rsid w:val="0076349E"/>
    <w:rsid w:val="007F5566"/>
    <w:rsid w:val="008106FC"/>
    <w:rsid w:val="00840213"/>
    <w:rsid w:val="00851EB2"/>
    <w:rsid w:val="008568AA"/>
    <w:rsid w:val="008B16C5"/>
    <w:rsid w:val="008B233E"/>
    <w:rsid w:val="008D3EA3"/>
    <w:rsid w:val="009B782E"/>
    <w:rsid w:val="009D0A4F"/>
    <w:rsid w:val="009E13F7"/>
    <w:rsid w:val="009F62C0"/>
    <w:rsid w:val="00A052B1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dcterms:created xsi:type="dcterms:W3CDTF">2017-07-17T10:48:00Z</dcterms:created>
  <dcterms:modified xsi:type="dcterms:W3CDTF">2025-08-06T11:46:00Z</dcterms:modified>
</cp:coreProperties>
</file>