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263CA" w14:textId="77777777" w:rsidR="00DB04B9" w:rsidRPr="00A13D81" w:rsidRDefault="00DB04B9" w:rsidP="00DB04B9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0DAAEFDD" w14:textId="77777777" w:rsidR="00DB04B9" w:rsidRPr="00A13D81" w:rsidRDefault="00DB04B9" w:rsidP="00DB04B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C09C97" w14:textId="4EB99FC7" w:rsidR="00DB04B9" w:rsidRPr="00A13D81" w:rsidRDefault="00DB04B9" w:rsidP="00DB04B9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Eap-2412/</w:t>
      </w:r>
      <w:r w:rsidR="00594876">
        <w:rPr>
          <w:rFonts w:ascii="Times New Roman" w:hAnsi="Times New Roman" w:cs="Times New Roman"/>
          <w:sz w:val="24"/>
          <w:szCs w:val="24"/>
        </w:rPr>
        <w:t>21</w:t>
      </w:r>
      <w:r w:rsidRPr="00A13D81">
        <w:rPr>
          <w:rFonts w:ascii="Times New Roman" w:hAnsi="Times New Roman" w:cs="Times New Roman"/>
          <w:sz w:val="24"/>
          <w:szCs w:val="24"/>
        </w:rPr>
        <w:t>/2</w:t>
      </w:r>
      <w:r w:rsidR="00594876">
        <w:rPr>
          <w:rFonts w:ascii="Times New Roman" w:hAnsi="Times New Roman" w:cs="Times New Roman"/>
          <w:sz w:val="24"/>
          <w:szCs w:val="24"/>
        </w:rPr>
        <w:t>5</w:t>
      </w:r>
      <w:r w:rsidRPr="00A13D81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D</w:t>
      </w:r>
    </w:p>
    <w:p w14:paraId="05444C9D" w14:textId="261C1C56" w:rsidR="00DB04B9" w:rsidRPr="00A13D81" w:rsidRDefault="00DB04B9" w:rsidP="00DB04B9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594876">
        <w:rPr>
          <w:rFonts w:ascii="Times New Roman" w:hAnsi="Times New Roman" w:cs="Times New Roman"/>
          <w:sz w:val="24"/>
          <w:szCs w:val="24"/>
        </w:rPr>
        <w:t>13.11.2025</w:t>
      </w:r>
      <w:r w:rsidRPr="00A13D81">
        <w:rPr>
          <w:rFonts w:ascii="Times New Roman" w:hAnsi="Times New Roman" w:cs="Times New Roman"/>
          <w:sz w:val="24"/>
          <w:szCs w:val="24"/>
        </w:rPr>
        <w:t>r.</w:t>
      </w:r>
    </w:p>
    <w:p w14:paraId="283BCAF9" w14:textId="77777777" w:rsidR="00DB04B9" w:rsidRPr="00A13D81" w:rsidRDefault="00DB04B9" w:rsidP="00DB04B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18E6852E" w14:textId="77777777" w:rsidR="00DB04B9" w:rsidRPr="00A13D81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5E8FFD91" w14:textId="77777777" w:rsidR="00DB04B9" w:rsidRPr="00A13D81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54FF84EF" w14:textId="77777777" w:rsidR="00DB04B9" w:rsidRPr="00A13D81" w:rsidRDefault="00DB04B9" w:rsidP="00DB04B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SWZ w postępowaniu:</w:t>
      </w:r>
      <w:r w:rsidRPr="00A13D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99B95D2" w14:textId="77777777" w:rsidR="00DB04B9" w:rsidRPr="00A13D81" w:rsidRDefault="00DB04B9" w:rsidP="00DB04B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CF80B1" w14:textId="554FA6A5" w:rsidR="00DB04B9" w:rsidRPr="00137938" w:rsidRDefault="00DB04B9" w:rsidP="00DB04B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3793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Dot. Postępowania w trybie przetargu nieograniczonego: </w:t>
      </w:r>
      <w:r w:rsidRPr="001379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1379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Dostawa materiałów jednorazowego użytku ( obłożenia , zestawy, implanty ortopedyczne, membrany, akcesoria i narzędzia do zabiegów urologicznych</w:t>
      </w:r>
      <w:r w:rsidR="00137938" w:rsidRPr="001379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 ortopedycznych</w:t>
      </w:r>
      <w:r w:rsidRPr="001379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) używanych na salach operacyjnych w </w:t>
      </w:r>
      <w:r w:rsidR="00137938" w:rsidRPr="001379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59487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1379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pakietach</w:t>
      </w:r>
      <w:r w:rsidRPr="0013793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137938">
        <w:rPr>
          <w:rFonts w:ascii="Times New Roman" w:hAnsi="Times New Roman" w:cs="Times New Roman"/>
          <w:b/>
          <w:sz w:val="24"/>
          <w:szCs w:val="24"/>
        </w:rPr>
        <w:t>.</w:t>
      </w:r>
    </w:p>
    <w:p w14:paraId="0388D342" w14:textId="77777777" w:rsidR="00DB04B9" w:rsidRPr="00A13D81" w:rsidRDefault="00DB04B9" w:rsidP="00DB04B9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31D2CFF" w14:textId="5EFC6442" w:rsidR="00DB04B9" w:rsidRPr="00A13D81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Zgodnie z art.</w:t>
      </w:r>
      <w:r w:rsidR="008D1F47">
        <w:rPr>
          <w:rFonts w:ascii="Times New Roman" w:hAnsi="Times New Roman" w:cs="Times New Roman"/>
          <w:sz w:val="24"/>
          <w:szCs w:val="24"/>
        </w:rPr>
        <w:t>135</w:t>
      </w:r>
      <w:r w:rsidRPr="00A13D81">
        <w:rPr>
          <w:rFonts w:ascii="Times New Roman" w:hAnsi="Times New Roman" w:cs="Times New Roman"/>
          <w:sz w:val="24"/>
          <w:szCs w:val="24"/>
        </w:rPr>
        <w:t xml:space="preserve"> ust.6 ustawy z dnia 11 września 2019 roku Prawo zamówień publicznych </w:t>
      </w:r>
    </w:p>
    <w:p w14:paraId="0153F7F3" w14:textId="0A06B5E7" w:rsidR="00DB04B9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(Dz. U. z 202</w:t>
      </w:r>
      <w:r w:rsidR="00594876">
        <w:rPr>
          <w:rFonts w:ascii="Times New Roman" w:hAnsi="Times New Roman" w:cs="Times New Roman"/>
          <w:sz w:val="24"/>
          <w:szCs w:val="24"/>
        </w:rPr>
        <w:t>4</w:t>
      </w:r>
      <w:r w:rsidRPr="00A13D81">
        <w:rPr>
          <w:rFonts w:ascii="Times New Roman" w:hAnsi="Times New Roman" w:cs="Times New Roman"/>
          <w:sz w:val="24"/>
          <w:szCs w:val="24"/>
        </w:rPr>
        <w:t xml:space="preserve"> r. poz. 1</w:t>
      </w:r>
      <w:r w:rsidR="00594876">
        <w:rPr>
          <w:rFonts w:ascii="Times New Roman" w:hAnsi="Times New Roman" w:cs="Times New Roman"/>
          <w:sz w:val="24"/>
          <w:szCs w:val="24"/>
        </w:rPr>
        <w:t>302</w:t>
      </w:r>
      <w:r w:rsidRPr="00A13D81">
        <w:rPr>
          <w:rFonts w:ascii="Times New Roman" w:hAnsi="Times New Roman" w:cs="Times New Roman"/>
          <w:sz w:val="24"/>
          <w:szCs w:val="24"/>
        </w:rPr>
        <w:t>) Zamawiający przekazuje treść zapytań wraz z wyjaśnieniami:</w:t>
      </w:r>
    </w:p>
    <w:p w14:paraId="2923D1DC" w14:textId="5E36A1EA" w:rsidR="00DB04B9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912ECA" w14:textId="77777777" w:rsidR="00BF1782" w:rsidRPr="00BF1782" w:rsidRDefault="00BF1782" w:rsidP="00BF178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78D68DD" w14:textId="18073C58" w:rsidR="00AD1055" w:rsidRDefault="00AD1055" w:rsidP="0059487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10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Pakiet 5 poz. 12  </w:t>
      </w:r>
    </w:p>
    <w:p w14:paraId="575F9687" w14:textId="28D650E9" w:rsidR="00BF1782" w:rsidRPr="00BF1782" w:rsidRDefault="00AD1055" w:rsidP="005948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W</w:t>
      </w:r>
      <w:r w:rsidRPr="00AD10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związku z wycofaniem z oferty ubrań typu BASIC, prosimy o dopuszczenie kompletów wykonanych z włókniny o gramaturze min. 40 g, na bluzie 3 kieszenie, spodnie wiązane</w:t>
      </w:r>
    </w:p>
    <w:p w14:paraId="16C57ED7" w14:textId="61094978" w:rsidR="00746F88" w:rsidRPr="00440BD1" w:rsidRDefault="009E74AD" w:rsidP="00BF1782">
      <w:pPr>
        <w:suppressAutoHyphens/>
        <w:autoSpaceDN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440BD1">
        <w:rPr>
          <w:rFonts w:ascii="Times New Roman" w:hAnsi="Times New Roman" w:cs="Times New Roman"/>
          <w:b/>
          <w:bCs/>
        </w:rPr>
        <w:t xml:space="preserve">Odpowiedź Zamawiającego: </w:t>
      </w:r>
      <w:r w:rsidR="00AD1055" w:rsidRPr="00440BD1">
        <w:rPr>
          <w:rFonts w:ascii="Times New Roman" w:hAnsi="Times New Roman" w:cs="Times New Roman"/>
          <w:b/>
          <w:bCs/>
        </w:rPr>
        <w:t>Tak</w:t>
      </w:r>
    </w:p>
    <w:p w14:paraId="512C9316" w14:textId="77777777" w:rsidR="00D463B7" w:rsidRPr="00440BD1" w:rsidRDefault="00D463B7" w:rsidP="00D46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06301C" w14:textId="79085EDF" w:rsidR="00D463B7" w:rsidRPr="00440BD1" w:rsidRDefault="00D463B7" w:rsidP="00D463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40BD1">
        <w:rPr>
          <w:rFonts w:ascii="Times New Roman" w:eastAsia="Times New Roman" w:hAnsi="Times New Roman" w:cs="Times New Roman"/>
          <w:sz w:val="24"/>
          <w:szCs w:val="24"/>
          <w:lang w:eastAsia="pl-PL"/>
        </w:rPr>
        <w:t>Pakiet 4 poz. 5</w:t>
      </w:r>
    </w:p>
    <w:p w14:paraId="5B59AB1C" w14:textId="7AA15195" w:rsidR="00D463B7" w:rsidRPr="006927A2" w:rsidRDefault="00D463B7" w:rsidP="00D463B7">
      <w:pPr>
        <w:suppressAutoHyphens/>
        <w:autoSpaceDN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440BD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6927A2">
        <w:rPr>
          <w:rFonts w:ascii="Times New Roman" w:eastAsia="Times New Roman" w:hAnsi="Times New Roman" w:cs="Times New Roman"/>
          <w:sz w:val="24"/>
          <w:szCs w:val="24"/>
          <w:lang w:eastAsia="pl-PL"/>
        </w:rPr>
        <w:t>. Prosimy o dopuszczenie osłony o wymiarach 15 x 244 cm.</w:t>
      </w:r>
      <w:r w:rsidRPr="006927A2">
        <w:rPr>
          <w:rFonts w:ascii="Times New Roman" w:hAnsi="Times New Roman" w:cs="Times New Roman"/>
          <w:b/>
          <w:bCs/>
        </w:rPr>
        <w:t xml:space="preserve"> Odpowiedź Zamawiającego: Tak</w:t>
      </w:r>
    </w:p>
    <w:p w14:paraId="697BF9A9" w14:textId="77777777" w:rsidR="005B33A4" w:rsidRPr="006927A2" w:rsidRDefault="005B33A4" w:rsidP="005B33A4">
      <w:pPr>
        <w:autoSpaceDE w:val="0"/>
        <w:autoSpaceDN w:val="0"/>
        <w:adjustRightInd w:val="0"/>
        <w:spacing w:after="0" w:line="240" w:lineRule="auto"/>
        <w:rPr>
          <w:rFonts w:ascii="Draeger Pangea Text" w:hAnsi="Draeger Pangea Text" w:cs="Draeger Pangea Text"/>
          <w:sz w:val="24"/>
          <w:szCs w:val="24"/>
        </w:rPr>
      </w:pPr>
    </w:p>
    <w:p w14:paraId="45BBE7B7" w14:textId="77777777" w:rsidR="005B33A4" w:rsidRPr="006927A2" w:rsidRDefault="005B33A4" w:rsidP="005B33A4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6927A2">
        <w:rPr>
          <w:rFonts w:asciiTheme="majorBidi" w:hAnsiTheme="majorBidi" w:cstheme="majorBidi"/>
          <w:b/>
          <w:bCs/>
          <w:sz w:val="24"/>
          <w:szCs w:val="24"/>
        </w:rPr>
        <w:t xml:space="preserve">Dotyczy: pakietu 10, poz. 2. </w:t>
      </w:r>
    </w:p>
    <w:p w14:paraId="54B52F72" w14:textId="46C2C7FA" w:rsidR="005B33A4" w:rsidRPr="006927A2" w:rsidRDefault="005B33A4" w:rsidP="005B33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6927A2">
        <w:rPr>
          <w:rFonts w:asciiTheme="majorBidi" w:hAnsiTheme="majorBidi" w:cstheme="majorBidi"/>
          <w:sz w:val="24"/>
          <w:szCs w:val="24"/>
        </w:rPr>
        <w:t xml:space="preserve">3. Ze względu na jednostkę handlową, jaką dla tego produktu jest opakowanie zawierające 10 szt., zwracamy się z prośbą o wyrażenie zgody na wycenę asortymentu w jednostce opakowanie, czyli 40 op. (400 szt.). </w:t>
      </w:r>
      <w:r w:rsidRPr="006927A2">
        <w:rPr>
          <w:rFonts w:ascii="Times New Roman" w:hAnsi="Times New Roman" w:cs="Times New Roman"/>
          <w:b/>
          <w:bCs/>
        </w:rPr>
        <w:t>Odpowiedź Zamawiającego: Tak</w:t>
      </w:r>
    </w:p>
    <w:p w14:paraId="388A3FA6" w14:textId="77777777" w:rsidR="005B33A4" w:rsidRPr="006927A2" w:rsidRDefault="005B33A4" w:rsidP="005B33A4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14:paraId="3ECF78FE" w14:textId="77777777" w:rsidR="005B33A4" w:rsidRPr="006927A2" w:rsidRDefault="005B33A4" w:rsidP="005B33A4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6927A2">
        <w:rPr>
          <w:rFonts w:asciiTheme="majorBidi" w:hAnsiTheme="majorBidi" w:cstheme="majorBidi"/>
          <w:b/>
          <w:bCs/>
          <w:sz w:val="24"/>
          <w:szCs w:val="24"/>
        </w:rPr>
        <w:t xml:space="preserve">Dotyczy: pakietu 10, poz. 4. </w:t>
      </w:r>
    </w:p>
    <w:p w14:paraId="3093CE36" w14:textId="6D003819" w:rsidR="005B33A4" w:rsidRPr="006927A2" w:rsidRDefault="005B33A4" w:rsidP="005B33A4">
      <w:pPr>
        <w:suppressAutoHyphens/>
        <w:autoSpaceDN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6927A2">
        <w:rPr>
          <w:rFonts w:asciiTheme="majorBidi" w:hAnsiTheme="majorBidi" w:cstheme="majorBidi"/>
          <w:sz w:val="24"/>
          <w:szCs w:val="24"/>
        </w:rPr>
        <w:t>4. Ze względu na jednostkę handlową, jaką dla tego produktu jest opakowanie zawierające 25 szt., zwracamy się z prośbą o wyrażenie zgody na wycenę asortymentu w jednostce opakowanie, czyli 3 op. (75 szt.).</w:t>
      </w:r>
      <w:r w:rsidRPr="006927A2">
        <w:rPr>
          <w:rFonts w:ascii="Times New Roman" w:hAnsi="Times New Roman" w:cs="Times New Roman"/>
          <w:b/>
          <w:bCs/>
        </w:rPr>
        <w:t xml:space="preserve"> Odpowiedź Zamawiającego: Tak</w:t>
      </w:r>
    </w:p>
    <w:p w14:paraId="03F92E14" w14:textId="77777777" w:rsidR="005B33A4" w:rsidRPr="006927A2" w:rsidRDefault="005B33A4" w:rsidP="005B33A4">
      <w:pPr>
        <w:suppressAutoHyphens/>
        <w:autoSpaceDN w:val="0"/>
        <w:spacing w:after="0" w:line="276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675E0548" w14:textId="77777777" w:rsidR="005B33A4" w:rsidRPr="006927A2" w:rsidRDefault="005B33A4" w:rsidP="005B33A4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6927A2">
        <w:rPr>
          <w:rFonts w:asciiTheme="majorBidi" w:hAnsiTheme="majorBidi" w:cstheme="majorBidi"/>
          <w:b/>
          <w:bCs/>
          <w:sz w:val="24"/>
          <w:szCs w:val="24"/>
        </w:rPr>
        <w:t xml:space="preserve">Dotyczy: pakietu 10, poz. 13. </w:t>
      </w:r>
    </w:p>
    <w:p w14:paraId="1E2B933F" w14:textId="6BBEFD86" w:rsidR="005B33A4" w:rsidRPr="006927A2" w:rsidRDefault="005B33A4" w:rsidP="005B33A4">
      <w:pPr>
        <w:suppressAutoHyphens/>
        <w:autoSpaceDN w:val="0"/>
        <w:spacing w:after="0" w:line="276" w:lineRule="auto"/>
        <w:jc w:val="both"/>
        <w:rPr>
          <w:rFonts w:asciiTheme="majorBidi" w:eastAsia="Times New Roman" w:hAnsiTheme="majorBidi" w:cstheme="majorBidi"/>
          <w:sz w:val="24"/>
          <w:szCs w:val="24"/>
          <w:lang w:eastAsia="de-DE"/>
        </w:rPr>
      </w:pPr>
      <w:r w:rsidRPr="006927A2">
        <w:rPr>
          <w:rFonts w:asciiTheme="majorBidi" w:hAnsiTheme="majorBidi" w:cstheme="majorBidi"/>
          <w:sz w:val="24"/>
          <w:szCs w:val="24"/>
        </w:rPr>
        <w:t>5. Ze względu na jednostkę handlową, jaką dla tego produktu jest opakowanie zawierające 5 szt., zwracamy się z prośbą o wyrażenie zgody na wycenę asortymentu w jednostce opakowanie, czyli 4 op. (20 szt.).</w:t>
      </w:r>
      <w:r w:rsidRPr="006927A2">
        <w:rPr>
          <w:rFonts w:ascii="Times New Roman" w:hAnsi="Times New Roman" w:cs="Times New Roman"/>
          <w:b/>
          <w:bCs/>
        </w:rPr>
        <w:t xml:space="preserve"> </w:t>
      </w:r>
      <w:bookmarkStart w:id="0" w:name="_Hlk214883404"/>
      <w:r w:rsidRPr="006927A2">
        <w:rPr>
          <w:rFonts w:ascii="Times New Roman" w:hAnsi="Times New Roman" w:cs="Times New Roman"/>
          <w:b/>
          <w:bCs/>
        </w:rPr>
        <w:t>Odpowiedź Zamawiającego: Tak</w:t>
      </w:r>
      <w:bookmarkEnd w:id="0"/>
    </w:p>
    <w:p w14:paraId="40A306E8" w14:textId="77777777" w:rsidR="00440BD1" w:rsidRPr="006927A2" w:rsidRDefault="00440BD1" w:rsidP="00440BD1">
      <w:pPr>
        <w:rPr>
          <w:rFonts w:ascii="Arial" w:eastAsia="Calibri" w:hAnsi="Arial" w:cs="Arial"/>
          <w:b/>
        </w:rPr>
      </w:pPr>
      <w:r w:rsidRPr="006927A2">
        <w:rPr>
          <w:rFonts w:ascii="Arial" w:eastAsia="Calibri" w:hAnsi="Arial" w:cs="Arial"/>
          <w:b/>
        </w:rPr>
        <w:t>Pakiet 22</w:t>
      </w:r>
    </w:p>
    <w:p w14:paraId="494CC321" w14:textId="5F1F00F4" w:rsidR="00440BD1" w:rsidRPr="006927A2" w:rsidRDefault="00440BD1" w:rsidP="00440BD1">
      <w:pPr>
        <w:contextualSpacing/>
        <w:rPr>
          <w:rFonts w:asciiTheme="majorBidi" w:eastAsia="Calibri" w:hAnsiTheme="majorBidi" w:cstheme="majorBidi"/>
          <w:sz w:val="24"/>
          <w:szCs w:val="24"/>
        </w:rPr>
      </w:pPr>
      <w:r w:rsidRPr="006927A2">
        <w:rPr>
          <w:rFonts w:asciiTheme="majorBidi" w:eastAsia="Calibri" w:hAnsiTheme="majorBidi" w:cstheme="majorBidi"/>
          <w:sz w:val="24"/>
          <w:szCs w:val="24"/>
        </w:rPr>
        <w:t xml:space="preserve">6. Czy Zamawiający w pozycji 1 dopuści zaoferowanie </w:t>
      </w:r>
      <w:proofErr w:type="spellStart"/>
      <w:r w:rsidRPr="006927A2">
        <w:rPr>
          <w:rFonts w:asciiTheme="majorBidi" w:eastAsia="Calibri" w:hAnsiTheme="majorBidi" w:cstheme="majorBidi"/>
          <w:sz w:val="24"/>
          <w:szCs w:val="24"/>
        </w:rPr>
        <w:t>stentów</w:t>
      </w:r>
      <w:proofErr w:type="spellEnd"/>
      <w:r w:rsidRPr="006927A2">
        <w:rPr>
          <w:rFonts w:asciiTheme="majorBidi" w:eastAsia="Calibri" w:hAnsiTheme="majorBidi" w:cstheme="majorBidi"/>
          <w:sz w:val="24"/>
          <w:szCs w:val="24"/>
        </w:rPr>
        <w:t xml:space="preserve"> do </w:t>
      </w:r>
      <w:proofErr w:type="spellStart"/>
      <w:r w:rsidRPr="006927A2">
        <w:rPr>
          <w:rFonts w:asciiTheme="majorBidi" w:eastAsia="Calibri" w:hAnsiTheme="majorBidi" w:cstheme="majorBidi"/>
          <w:sz w:val="24"/>
          <w:szCs w:val="24"/>
        </w:rPr>
        <w:t>szynowania</w:t>
      </w:r>
      <w:proofErr w:type="spellEnd"/>
      <w:r w:rsidRPr="006927A2">
        <w:rPr>
          <w:rFonts w:asciiTheme="majorBidi" w:eastAsia="Calibri" w:hAnsiTheme="majorBidi" w:cstheme="majorBidi"/>
          <w:sz w:val="24"/>
          <w:szCs w:val="24"/>
        </w:rPr>
        <w:t xml:space="preserve"> moczowodów wykonanych z elastycznego </w:t>
      </w:r>
      <w:proofErr w:type="spellStart"/>
      <w:r w:rsidRPr="006927A2">
        <w:rPr>
          <w:rFonts w:asciiTheme="majorBidi" w:eastAsia="Calibri" w:hAnsiTheme="majorBidi" w:cstheme="majorBidi"/>
          <w:sz w:val="24"/>
          <w:szCs w:val="24"/>
        </w:rPr>
        <w:t>biokompatybilnego</w:t>
      </w:r>
      <w:proofErr w:type="spellEnd"/>
      <w:r w:rsidRPr="006927A2">
        <w:rPr>
          <w:rFonts w:asciiTheme="majorBidi" w:eastAsia="Calibri" w:hAnsiTheme="majorBidi" w:cstheme="majorBidi"/>
          <w:sz w:val="24"/>
          <w:szCs w:val="24"/>
        </w:rPr>
        <w:t xml:space="preserve"> silikonu, do utrzymywania w ciele pacjenta do 365 dni. </w:t>
      </w:r>
      <w:proofErr w:type="spellStart"/>
      <w:r w:rsidRPr="006927A2">
        <w:rPr>
          <w:rFonts w:asciiTheme="majorBidi" w:eastAsia="Calibri" w:hAnsiTheme="majorBidi" w:cstheme="majorBidi"/>
          <w:sz w:val="24"/>
          <w:szCs w:val="24"/>
        </w:rPr>
        <w:t>Stenty</w:t>
      </w:r>
      <w:proofErr w:type="spellEnd"/>
      <w:r w:rsidRPr="006927A2">
        <w:rPr>
          <w:rFonts w:asciiTheme="majorBidi" w:eastAsia="Calibri" w:hAnsiTheme="majorBidi" w:cstheme="majorBidi"/>
          <w:sz w:val="24"/>
          <w:szCs w:val="24"/>
        </w:rPr>
        <w:t xml:space="preserve"> widoczne we fluoroskopii, z pamięcią kształtu celu zapobiegania migracji. </w:t>
      </w:r>
      <w:r w:rsidRPr="006927A2">
        <w:rPr>
          <w:rFonts w:asciiTheme="majorBidi" w:eastAsia="Calibri" w:hAnsiTheme="majorBidi" w:cstheme="majorBidi"/>
          <w:sz w:val="24"/>
          <w:szCs w:val="24"/>
        </w:rPr>
        <w:lastRenderedPageBreak/>
        <w:t xml:space="preserve">Cewnik posiada skalowanie co 5 cm lub co 1cm oraz linię pozycjonującą  (do wyboru przez zamawiającego). Zestaw sterowany, dający możliwość repozycji </w:t>
      </w:r>
      <w:proofErr w:type="spellStart"/>
      <w:r w:rsidRPr="006927A2">
        <w:rPr>
          <w:rFonts w:asciiTheme="majorBidi" w:eastAsia="Calibri" w:hAnsiTheme="majorBidi" w:cstheme="majorBidi"/>
          <w:sz w:val="24"/>
          <w:szCs w:val="24"/>
        </w:rPr>
        <w:t>stentu</w:t>
      </w:r>
      <w:proofErr w:type="spellEnd"/>
      <w:r w:rsidRPr="006927A2">
        <w:rPr>
          <w:rFonts w:asciiTheme="majorBidi" w:eastAsia="Calibri" w:hAnsiTheme="majorBidi" w:cstheme="majorBidi"/>
          <w:sz w:val="24"/>
          <w:szCs w:val="24"/>
        </w:rPr>
        <w:t xml:space="preserve"> przed jego uwolnieniem.  Skład zestawu: prowadnica 150cm, popychacz, cewnik silikonowy, prowadnik, zacisk, nić. </w:t>
      </w:r>
    </w:p>
    <w:p w14:paraId="20E6A274" w14:textId="77777777" w:rsidR="00440BD1" w:rsidRPr="006927A2" w:rsidRDefault="00440BD1" w:rsidP="00440BD1">
      <w:pPr>
        <w:ind w:left="720"/>
        <w:contextualSpacing/>
        <w:rPr>
          <w:rFonts w:asciiTheme="majorBidi" w:eastAsia="Calibri" w:hAnsiTheme="majorBidi" w:cstheme="majorBidi"/>
          <w:sz w:val="24"/>
          <w:szCs w:val="24"/>
        </w:rPr>
      </w:pPr>
      <w:proofErr w:type="spellStart"/>
      <w:r w:rsidRPr="006927A2">
        <w:rPr>
          <w:rFonts w:asciiTheme="majorBidi" w:eastAsia="Calibri" w:hAnsiTheme="majorBidi" w:cstheme="majorBidi"/>
          <w:sz w:val="24"/>
          <w:szCs w:val="24"/>
        </w:rPr>
        <w:t>Stenty</w:t>
      </w:r>
      <w:proofErr w:type="spellEnd"/>
      <w:r w:rsidRPr="006927A2">
        <w:rPr>
          <w:rFonts w:asciiTheme="majorBidi" w:eastAsia="Calibri" w:hAnsiTheme="majorBidi" w:cstheme="majorBidi"/>
          <w:sz w:val="24"/>
          <w:szCs w:val="24"/>
        </w:rPr>
        <w:t xml:space="preserve"> w rozmiarach:</w:t>
      </w:r>
    </w:p>
    <w:p w14:paraId="4AF31155" w14:textId="77777777" w:rsidR="00440BD1" w:rsidRPr="006927A2" w:rsidRDefault="00440BD1" w:rsidP="00440BD1">
      <w:pPr>
        <w:ind w:left="720"/>
        <w:contextualSpacing/>
        <w:rPr>
          <w:rFonts w:asciiTheme="majorBidi" w:eastAsia="Calibri" w:hAnsiTheme="majorBidi" w:cstheme="majorBidi"/>
          <w:sz w:val="24"/>
          <w:szCs w:val="24"/>
        </w:rPr>
      </w:pPr>
      <w:r w:rsidRPr="006927A2">
        <w:rPr>
          <w:rFonts w:asciiTheme="majorBidi" w:eastAsia="Calibri" w:hAnsiTheme="majorBidi" w:cstheme="majorBidi"/>
          <w:sz w:val="24"/>
          <w:szCs w:val="24"/>
        </w:rPr>
        <w:t xml:space="preserve">4.8Fr (kompatybilne w prowadnikiem 0.032”), </w:t>
      </w:r>
    </w:p>
    <w:p w14:paraId="69ECD7DF" w14:textId="77777777" w:rsidR="00440BD1" w:rsidRPr="006927A2" w:rsidRDefault="00440BD1" w:rsidP="00440BD1">
      <w:pPr>
        <w:ind w:left="720"/>
        <w:contextualSpacing/>
        <w:rPr>
          <w:rFonts w:asciiTheme="majorBidi" w:eastAsia="Calibri" w:hAnsiTheme="majorBidi" w:cstheme="majorBidi"/>
          <w:sz w:val="24"/>
          <w:szCs w:val="24"/>
        </w:rPr>
      </w:pPr>
      <w:r w:rsidRPr="006927A2">
        <w:rPr>
          <w:rFonts w:asciiTheme="majorBidi" w:eastAsia="Calibri" w:hAnsiTheme="majorBidi" w:cstheme="majorBidi"/>
          <w:sz w:val="24"/>
          <w:szCs w:val="24"/>
        </w:rPr>
        <w:t>5Fr, 6Fr (</w:t>
      </w:r>
      <w:proofErr w:type="spellStart"/>
      <w:r w:rsidRPr="006927A2">
        <w:rPr>
          <w:rFonts w:asciiTheme="majorBidi" w:eastAsia="Calibri" w:hAnsiTheme="majorBidi" w:cstheme="majorBidi"/>
          <w:sz w:val="24"/>
          <w:szCs w:val="24"/>
        </w:rPr>
        <w:t>kopatybilne</w:t>
      </w:r>
      <w:proofErr w:type="spellEnd"/>
      <w:r w:rsidRPr="006927A2">
        <w:rPr>
          <w:rFonts w:asciiTheme="majorBidi" w:eastAsia="Calibri" w:hAnsiTheme="majorBidi" w:cstheme="majorBidi"/>
          <w:sz w:val="24"/>
          <w:szCs w:val="24"/>
        </w:rPr>
        <w:t xml:space="preserve"> z prowadnikiem 0.035”), </w:t>
      </w:r>
    </w:p>
    <w:p w14:paraId="3E2278BA" w14:textId="77777777" w:rsidR="00440BD1" w:rsidRPr="006927A2" w:rsidRDefault="00440BD1" w:rsidP="00440BD1">
      <w:pPr>
        <w:ind w:left="720"/>
        <w:contextualSpacing/>
        <w:rPr>
          <w:rFonts w:asciiTheme="majorBidi" w:eastAsia="Calibri" w:hAnsiTheme="majorBidi" w:cstheme="majorBidi"/>
          <w:sz w:val="24"/>
          <w:szCs w:val="24"/>
        </w:rPr>
      </w:pPr>
      <w:r w:rsidRPr="006927A2">
        <w:rPr>
          <w:rFonts w:asciiTheme="majorBidi" w:eastAsia="Calibri" w:hAnsiTheme="majorBidi" w:cstheme="majorBidi"/>
          <w:sz w:val="24"/>
          <w:szCs w:val="24"/>
        </w:rPr>
        <w:t xml:space="preserve">7Fr i 8Fr (kompatybilne z prowadnikiem 0.038”). </w:t>
      </w:r>
    </w:p>
    <w:p w14:paraId="4B7E54EE" w14:textId="77777777" w:rsidR="00440BD1" w:rsidRPr="006927A2" w:rsidRDefault="00440BD1" w:rsidP="00440BD1">
      <w:pPr>
        <w:ind w:left="720"/>
        <w:contextualSpacing/>
        <w:rPr>
          <w:rFonts w:asciiTheme="majorBidi" w:eastAsia="Calibri" w:hAnsiTheme="majorBidi" w:cstheme="majorBidi"/>
          <w:sz w:val="24"/>
          <w:szCs w:val="24"/>
        </w:rPr>
      </w:pPr>
      <w:r w:rsidRPr="006927A2">
        <w:rPr>
          <w:rFonts w:asciiTheme="majorBidi" w:eastAsia="Calibri" w:hAnsiTheme="majorBidi" w:cstheme="majorBidi"/>
          <w:sz w:val="24"/>
          <w:szCs w:val="24"/>
        </w:rPr>
        <w:t>Długości do wyboru 14-28 cm. Zestaw jednorazowy pakowany 1szt.</w:t>
      </w:r>
    </w:p>
    <w:p w14:paraId="66114C3D" w14:textId="7568B38F" w:rsidR="00440BD1" w:rsidRPr="006927A2" w:rsidRDefault="00440BD1" w:rsidP="00440BD1">
      <w:pPr>
        <w:ind w:left="720"/>
        <w:contextualSpacing/>
        <w:rPr>
          <w:rFonts w:asciiTheme="majorBidi" w:eastAsia="Calibri" w:hAnsiTheme="majorBidi" w:cstheme="majorBidi"/>
          <w:sz w:val="24"/>
          <w:szCs w:val="24"/>
        </w:rPr>
      </w:pPr>
      <w:r w:rsidRPr="006927A2">
        <w:rPr>
          <w:rFonts w:ascii="Times New Roman" w:hAnsi="Times New Roman" w:cs="Times New Roman"/>
          <w:b/>
          <w:bCs/>
        </w:rPr>
        <w:t xml:space="preserve">Odpowiedź Zamawiającego: </w:t>
      </w:r>
      <w:r w:rsidR="006927A2" w:rsidRPr="006927A2">
        <w:rPr>
          <w:rFonts w:ascii="Times New Roman" w:hAnsi="Times New Roman" w:cs="Times New Roman"/>
          <w:b/>
          <w:bCs/>
        </w:rPr>
        <w:t>NIE. Zamawiający podtrzymuje zapisy SWZ.</w:t>
      </w:r>
    </w:p>
    <w:p w14:paraId="488D14BD" w14:textId="77777777" w:rsidR="00440BD1" w:rsidRPr="006927A2" w:rsidRDefault="00440BD1" w:rsidP="00440BD1">
      <w:pPr>
        <w:ind w:left="720"/>
        <w:contextualSpacing/>
        <w:rPr>
          <w:rFonts w:asciiTheme="majorBidi" w:eastAsia="Calibri" w:hAnsiTheme="majorBidi" w:cstheme="majorBidi"/>
          <w:sz w:val="24"/>
          <w:szCs w:val="24"/>
        </w:rPr>
      </w:pPr>
    </w:p>
    <w:p w14:paraId="67616E2D" w14:textId="15B6A7CB" w:rsidR="00440BD1" w:rsidRPr="006927A2" w:rsidRDefault="00440BD1" w:rsidP="00440BD1">
      <w:pPr>
        <w:contextualSpacing/>
        <w:rPr>
          <w:rFonts w:asciiTheme="majorBidi" w:eastAsia="Calibri" w:hAnsiTheme="majorBidi" w:cstheme="majorBidi"/>
          <w:sz w:val="24"/>
          <w:szCs w:val="24"/>
        </w:rPr>
      </w:pPr>
      <w:r w:rsidRPr="006927A2">
        <w:rPr>
          <w:rFonts w:asciiTheme="majorBidi" w:eastAsia="Calibri" w:hAnsiTheme="majorBidi" w:cstheme="majorBidi"/>
          <w:sz w:val="24"/>
          <w:szCs w:val="24"/>
        </w:rPr>
        <w:t xml:space="preserve">7. Czy Zamawiający w pozycji 2 dopuści zaoferowanie cewników pooperacyjnych typu </w:t>
      </w:r>
      <w:proofErr w:type="spellStart"/>
      <w:r w:rsidRPr="006927A2">
        <w:rPr>
          <w:rFonts w:asciiTheme="majorBidi" w:eastAsia="Calibri" w:hAnsiTheme="majorBidi" w:cstheme="majorBidi"/>
          <w:sz w:val="24"/>
          <w:szCs w:val="24"/>
        </w:rPr>
        <w:t>Dufour</w:t>
      </w:r>
      <w:proofErr w:type="spellEnd"/>
      <w:r w:rsidRPr="006927A2">
        <w:rPr>
          <w:rFonts w:asciiTheme="majorBidi" w:eastAsia="Calibri" w:hAnsiTheme="majorBidi" w:cstheme="majorBidi"/>
          <w:sz w:val="24"/>
          <w:szCs w:val="24"/>
        </w:rPr>
        <w:t>, dwudrożnych i trójdrożnych, wykonanych z silikonu o module sztywności zapewniającym łatwe wprowadzenie cewnika i ochronę przed zagięciem, wyposażonych w balon silikonowy o wzmocnionej, jednolitej konstrukcji (bez konieczności stosowania żebrowania, pojemność balonu w zakresie 50-80 ml dla średnic 18 Fr i 20 Fr oraz 80 – 100 ml dla średnic 22 Fr i 24 Fr.</w:t>
      </w:r>
      <w:r w:rsidRPr="006927A2">
        <w:rPr>
          <w:rFonts w:ascii="Times New Roman" w:hAnsi="Times New Roman" w:cs="Times New Roman"/>
          <w:b/>
          <w:bCs/>
        </w:rPr>
        <w:t xml:space="preserve"> Odpowiedź Zamawiającego: </w:t>
      </w:r>
      <w:r w:rsidR="006927A2" w:rsidRPr="006927A2">
        <w:rPr>
          <w:rFonts w:ascii="Times New Roman" w:hAnsi="Times New Roman" w:cs="Times New Roman"/>
          <w:b/>
          <w:bCs/>
        </w:rPr>
        <w:t>NIE. Zamawiający podtrzymuje zapisy SWZ.</w:t>
      </w:r>
    </w:p>
    <w:p w14:paraId="1FCC942F" w14:textId="77777777" w:rsidR="00440BD1" w:rsidRPr="006927A2" w:rsidRDefault="00440BD1" w:rsidP="00440BD1">
      <w:pPr>
        <w:ind w:left="720"/>
        <w:contextualSpacing/>
        <w:rPr>
          <w:rFonts w:asciiTheme="majorBidi" w:eastAsia="Calibri" w:hAnsiTheme="majorBidi" w:cstheme="majorBidi"/>
          <w:sz w:val="24"/>
          <w:szCs w:val="24"/>
        </w:rPr>
      </w:pPr>
    </w:p>
    <w:p w14:paraId="065D8EC4" w14:textId="6578B8AB" w:rsidR="00440BD1" w:rsidRPr="006927A2" w:rsidRDefault="00440BD1" w:rsidP="00440BD1">
      <w:pPr>
        <w:contextualSpacing/>
        <w:rPr>
          <w:rFonts w:asciiTheme="majorBidi" w:eastAsia="Calibri" w:hAnsiTheme="majorBidi" w:cstheme="majorBidi"/>
          <w:sz w:val="24"/>
          <w:szCs w:val="24"/>
        </w:rPr>
      </w:pPr>
      <w:r w:rsidRPr="006927A2">
        <w:rPr>
          <w:rFonts w:asciiTheme="majorBidi" w:eastAsia="Calibri" w:hAnsiTheme="majorBidi" w:cstheme="majorBidi"/>
          <w:sz w:val="24"/>
          <w:szCs w:val="24"/>
        </w:rPr>
        <w:t xml:space="preserve">8. Czy Zamawiający w pozycji 3 dopuści zaoferowanie </w:t>
      </w:r>
      <w:proofErr w:type="spellStart"/>
      <w:r w:rsidRPr="006927A2">
        <w:rPr>
          <w:rFonts w:asciiTheme="majorBidi" w:eastAsia="Calibri" w:hAnsiTheme="majorBidi" w:cstheme="majorBidi"/>
          <w:sz w:val="24"/>
          <w:szCs w:val="24"/>
        </w:rPr>
        <w:t>ewakuatorów</w:t>
      </w:r>
      <w:proofErr w:type="spellEnd"/>
      <w:r w:rsidRPr="006927A2">
        <w:rPr>
          <w:rFonts w:asciiTheme="majorBidi" w:eastAsia="Calibri" w:hAnsiTheme="majorBidi" w:cstheme="majorBidi"/>
          <w:sz w:val="24"/>
          <w:szCs w:val="24"/>
        </w:rPr>
        <w:t xml:space="preserve"> z adapterem uniwersalnym do osłon resektoskopów firmy R. Wolf, K. </w:t>
      </w:r>
      <w:proofErr w:type="spellStart"/>
      <w:r w:rsidRPr="006927A2">
        <w:rPr>
          <w:rFonts w:asciiTheme="majorBidi" w:eastAsia="Calibri" w:hAnsiTheme="majorBidi" w:cstheme="majorBidi"/>
          <w:sz w:val="24"/>
          <w:szCs w:val="24"/>
        </w:rPr>
        <w:t>Storz</w:t>
      </w:r>
      <w:proofErr w:type="spellEnd"/>
      <w:r w:rsidRPr="006927A2">
        <w:rPr>
          <w:rFonts w:asciiTheme="majorBidi" w:eastAsia="Calibri" w:hAnsiTheme="majorBidi" w:cstheme="majorBidi"/>
          <w:sz w:val="24"/>
          <w:szCs w:val="24"/>
        </w:rPr>
        <w:t xml:space="preserve"> i ACMI.</w:t>
      </w:r>
      <w:r w:rsidRPr="006927A2">
        <w:rPr>
          <w:rFonts w:ascii="Times New Roman" w:hAnsi="Times New Roman" w:cs="Times New Roman"/>
          <w:b/>
          <w:bCs/>
        </w:rPr>
        <w:t xml:space="preserve"> Odpowiedź Zamawiającego: Tak</w:t>
      </w:r>
    </w:p>
    <w:p w14:paraId="074970AA" w14:textId="77777777" w:rsidR="006927A2" w:rsidRDefault="006927A2" w:rsidP="006927A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14:paraId="2E0FC93D" w14:textId="0B77A033" w:rsidR="006927A2" w:rsidRPr="006A71AB" w:rsidRDefault="006927A2" w:rsidP="006927A2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6A71AB">
        <w:rPr>
          <w:rFonts w:asciiTheme="majorBidi" w:hAnsiTheme="majorBidi" w:cstheme="majorBidi"/>
          <w:b/>
          <w:bCs/>
          <w:sz w:val="24"/>
          <w:szCs w:val="24"/>
        </w:rPr>
        <w:t>Dotyczy pakiet nr 26.</w:t>
      </w:r>
    </w:p>
    <w:p w14:paraId="0BD20CFD" w14:textId="7C9B484E" w:rsidR="00746F88" w:rsidRDefault="006927A2" w:rsidP="006927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6927A2">
        <w:rPr>
          <w:rFonts w:asciiTheme="majorBidi" w:hAnsiTheme="majorBidi" w:cstheme="majorBidi"/>
          <w:sz w:val="24"/>
          <w:szCs w:val="24"/>
        </w:rPr>
        <w:t>9. Prosimy Zamawiającego o dopuszczenie w pakiecie 26: oświadczenia, że producent jest w trakcie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6927A2">
        <w:rPr>
          <w:rFonts w:asciiTheme="majorBidi" w:hAnsiTheme="majorBidi" w:cstheme="majorBidi"/>
          <w:sz w:val="24"/>
          <w:szCs w:val="24"/>
        </w:rPr>
        <w:t>wdrażania normy środowiskowej ISO 14001. Reszta wymogów i parametrów zgodna z SWZ.</w:t>
      </w:r>
      <w:r w:rsidRPr="006927A2">
        <w:rPr>
          <w:rFonts w:ascii="Times New Roman" w:hAnsi="Times New Roman" w:cs="Times New Roman"/>
          <w:b/>
          <w:bCs/>
        </w:rPr>
        <w:t xml:space="preserve"> Odpowiedź Zamawiającego: Tak</w:t>
      </w:r>
    </w:p>
    <w:p w14:paraId="445B3982" w14:textId="77777777" w:rsidR="005C702E" w:rsidRDefault="005C702E" w:rsidP="006927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0AECC3C" w14:textId="24226869" w:rsidR="005C702E" w:rsidRPr="006A71AB" w:rsidRDefault="006A71AB" w:rsidP="005C702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color w:val="000000"/>
          <w:sz w:val="24"/>
          <w:szCs w:val="24"/>
        </w:rPr>
      </w:pPr>
      <w:r w:rsidRPr="006A71AB">
        <w:rPr>
          <w:rFonts w:asciiTheme="majorBidi" w:hAnsiTheme="majorBidi" w:cstheme="majorBidi"/>
          <w:b/>
          <w:bCs/>
          <w:sz w:val="24"/>
          <w:szCs w:val="24"/>
        </w:rPr>
        <w:t xml:space="preserve">Dotyczy pakiet nr </w:t>
      </w:r>
      <w:r w:rsidRPr="006A71AB">
        <w:rPr>
          <w:rFonts w:asciiTheme="majorBidi" w:hAnsiTheme="majorBidi" w:cstheme="majorBidi"/>
          <w:b/>
          <w:bCs/>
          <w:sz w:val="24"/>
          <w:szCs w:val="24"/>
        </w:rPr>
        <w:t>7</w:t>
      </w:r>
      <w:r w:rsidRPr="006A71AB">
        <w:rPr>
          <w:rFonts w:asciiTheme="majorBidi" w:hAnsiTheme="majorBidi" w:cstheme="majorBidi"/>
          <w:b/>
          <w:bCs/>
          <w:sz w:val="24"/>
          <w:szCs w:val="24"/>
        </w:rPr>
        <w:t>.</w:t>
      </w:r>
    </w:p>
    <w:p w14:paraId="50D5C0AE" w14:textId="08AC4690" w:rsidR="005C702E" w:rsidRDefault="005C702E" w:rsidP="005C702E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sz w:val="24"/>
          <w:szCs w:val="24"/>
        </w:rPr>
      </w:pPr>
      <w:r w:rsidRPr="005C702E">
        <w:rPr>
          <w:rFonts w:asciiTheme="majorBidi" w:hAnsiTheme="majorBidi" w:cstheme="majorBidi"/>
          <w:color w:val="000000"/>
          <w:sz w:val="24"/>
          <w:szCs w:val="24"/>
        </w:rPr>
        <w:t>10. Czy zamawiający dopuści następującą charakterystykę produktu w pozycjach 70-74 , 75-80 i usunie z pakietu pozycje 87,88 i 89” W załączniku pozycje proponowane</w:t>
      </w:r>
      <w:r>
        <w:rPr>
          <w:rFonts w:asciiTheme="majorBidi" w:hAnsiTheme="majorBidi" w:cstheme="majorBidi"/>
          <w:color w:val="000000"/>
          <w:sz w:val="24"/>
          <w:szCs w:val="24"/>
        </w:rPr>
        <w:t>.</w:t>
      </w:r>
    </w:p>
    <w:tbl>
      <w:tblPr>
        <w:tblW w:w="10031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7230"/>
        <w:gridCol w:w="992"/>
        <w:gridCol w:w="1134"/>
      </w:tblGrid>
      <w:tr w:rsidR="005F40D5" w:rsidRPr="005F40D5" w14:paraId="624CC077" w14:textId="77777777" w:rsidTr="007D3F0F">
        <w:trPr>
          <w:trHeight w:val="103"/>
        </w:trPr>
        <w:tc>
          <w:tcPr>
            <w:tcW w:w="675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F1291CB" w14:textId="77777777" w:rsidR="005F40D5" w:rsidRPr="005F40D5" w:rsidRDefault="005F40D5" w:rsidP="005F4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eastAsia="Aptos" w:hAnsi="Arial Nova" w:cs="Arial Nova"/>
                <w:color w:val="000000"/>
              </w:rPr>
            </w:pPr>
            <w:r w:rsidRPr="005F40D5">
              <w:rPr>
                <w:rFonts w:ascii="Arial Nova" w:eastAsia="Aptos" w:hAnsi="Arial Nova" w:cs="Arial Nova"/>
                <w:b/>
                <w:bCs/>
                <w:color w:val="000000"/>
              </w:rPr>
              <w:t>LP</w:t>
            </w:r>
          </w:p>
        </w:tc>
        <w:tc>
          <w:tcPr>
            <w:tcW w:w="723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66FE519" w14:textId="77777777" w:rsidR="005F40D5" w:rsidRPr="005F40D5" w:rsidRDefault="005F40D5" w:rsidP="005F4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eastAsia="Aptos" w:hAnsi="Arial Nova" w:cs="Arial Nova"/>
                <w:color w:val="000000"/>
              </w:rPr>
            </w:pPr>
            <w:r w:rsidRPr="005F40D5">
              <w:rPr>
                <w:rFonts w:ascii="Arial Nova" w:eastAsia="Aptos" w:hAnsi="Arial Nova" w:cs="Arial Nova"/>
                <w:b/>
                <w:bCs/>
                <w:color w:val="000000"/>
              </w:rPr>
              <w:t>Opis produktu</w:t>
            </w:r>
          </w:p>
        </w:tc>
        <w:tc>
          <w:tcPr>
            <w:tcW w:w="99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DB4E473" w14:textId="77777777" w:rsidR="005F40D5" w:rsidRPr="005F40D5" w:rsidRDefault="005F40D5" w:rsidP="005F4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eastAsia="Aptos" w:hAnsi="Arial Nova" w:cs="Arial Nova"/>
                <w:color w:val="000000"/>
              </w:rPr>
            </w:pPr>
            <w:r w:rsidRPr="005F40D5">
              <w:rPr>
                <w:rFonts w:ascii="Arial Nova" w:eastAsia="Aptos" w:hAnsi="Arial Nova" w:cs="Arial Nova"/>
                <w:b/>
                <w:bCs/>
                <w:color w:val="000000"/>
              </w:rPr>
              <w:t>Jedn.</w:t>
            </w:r>
          </w:p>
        </w:tc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FACC6A0" w14:textId="77777777" w:rsidR="005F40D5" w:rsidRPr="005F40D5" w:rsidRDefault="005F40D5" w:rsidP="005F4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eastAsia="Aptos" w:hAnsi="Arial Nova" w:cs="Arial Nova"/>
                <w:color w:val="000000"/>
              </w:rPr>
            </w:pPr>
            <w:proofErr w:type="spellStart"/>
            <w:r w:rsidRPr="005F40D5">
              <w:rPr>
                <w:rFonts w:ascii="Arial Nova" w:eastAsia="Aptos" w:hAnsi="Arial Nova" w:cs="Arial Nova"/>
                <w:b/>
                <w:bCs/>
                <w:color w:val="000000"/>
              </w:rPr>
              <w:t>Ilosc</w:t>
            </w:r>
            <w:proofErr w:type="spellEnd"/>
          </w:p>
        </w:tc>
      </w:tr>
      <w:tr w:rsidR="005F40D5" w:rsidRPr="005F40D5" w14:paraId="21C1B08C" w14:textId="77777777" w:rsidTr="007D3F0F">
        <w:trPr>
          <w:trHeight w:val="2696"/>
        </w:trPr>
        <w:tc>
          <w:tcPr>
            <w:tcW w:w="675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58074FD" w14:textId="77777777" w:rsidR="005F40D5" w:rsidRPr="005F40D5" w:rsidRDefault="005F40D5" w:rsidP="005F4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eastAsia="Aptos" w:hAnsi="Arial Nova" w:cs="Arial Nova"/>
                <w:color w:val="000000"/>
              </w:rPr>
            </w:pPr>
            <w:r w:rsidRPr="005F40D5">
              <w:rPr>
                <w:rFonts w:ascii="Arial Nova" w:eastAsia="Aptos" w:hAnsi="Arial Nova" w:cs="Arial Nova"/>
                <w:b/>
                <w:bCs/>
                <w:color w:val="000000"/>
              </w:rPr>
              <w:t>70</w:t>
            </w:r>
          </w:p>
        </w:tc>
        <w:tc>
          <w:tcPr>
            <w:tcW w:w="723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C14ECFF" w14:textId="41025717" w:rsidR="005F40D5" w:rsidRPr="005F40D5" w:rsidRDefault="005F40D5" w:rsidP="005F4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eastAsia="Aptos" w:hAnsi="Arial Nova" w:cs="Arial Nova"/>
                <w:color w:val="000000"/>
              </w:rPr>
            </w:pPr>
            <w:r w:rsidRPr="005F40D5">
              <w:rPr>
                <w:rFonts w:ascii="Arial Nova" w:eastAsia="Aptos" w:hAnsi="Arial Nova" w:cs="Arial Nova"/>
                <w:color w:val="000000"/>
              </w:rPr>
              <w:t xml:space="preserve">Gwóźdź śródszpikowy ramienny, tytanowy, </w:t>
            </w:r>
            <w:proofErr w:type="spellStart"/>
            <w:r w:rsidRPr="005F40D5">
              <w:rPr>
                <w:rFonts w:ascii="Arial Nova" w:eastAsia="Aptos" w:hAnsi="Arial Nova" w:cs="Arial Nova"/>
                <w:color w:val="000000"/>
              </w:rPr>
              <w:t>kaniulowany</w:t>
            </w:r>
            <w:proofErr w:type="spellEnd"/>
            <w:r w:rsidRPr="005F40D5">
              <w:rPr>
                <w:rFonts w:ascii="Arial Nova" w:eastAsia="Aptos" w:hAnsi="Arial Nova" w:cs="Arial Nova"/>
                <w:color w:val="000000"/>
              </w:rPr>
              <w:t xml:space="preserve"> prosty w wersji krótkiej i długiej. Istnieje możliwość wielopłaszczyznowego blokowania w części bliższej i dalszej gwoździa. Specjalnie zaprojektowane śruby do blokowania w części bliższej charakteryzują się: zaokrągloną końcówką a także gwintem </w:t>
            </w:r>
            <w:proofErr w:type="spellStart"/>
            <w:r w:rsidRPr="005F40D5">
              <w:rPr>
                <w:rFonts w:ascii="Arial Nova" w:eastAsia="Aptos" w:hAnsi="Arial Nova" w:cs="Arial Nova"/>
                <w:color w:val="000000"/>
              </w:rPr>
              <w:t>samotnącym</w:t>
            </w:r>
            <w:proofErr w:type="spellEnd"/>
            <w:r w:rsidRPr="005F40D5">
              <w:rPr>
                <w:rFonts w:ascii="Arial Nova" w:eastAsia="Aptos" w:hAnsi="Arial Nova" w:cs="Arial Nova"/>
                <w:color w:val="000000"/>
              </w:rPr>
              <w:t xml:space="preserve"> w głowie śruby ułatwiającym wkręcenie w kość. Głowę śruby wyposażono także w cztery otwory do mocowania szwów i również specjalny otwór do dodatkowej śruby blokowanej o średnicy 3.5mm, wkręcanej w celu uzyskania lepszej stabilizacji złamania głowy kości ramiennej. W części bliższej gwoździa znajdują się otwory do blokowania wypełnione tuleją polietylenową w celu uzyskania pełnej stabilności zespolenia. Otwory rozłożone są także w czterech różnych płaszczyznach. Instrumentarium wyposażono w celownik z możliwością śródoperacyjnego blokowania w części bliższej i dalszej gwoździ krótkich. Gwóźdź występuje w wersji do prawej i lewej ręki. Zaślepka z gniazdem gwiazdkowym w długości od 0mm do 15mm. Śruby blokujące w części bliższej o średnicy 4.5mm w kolorze złotym o długości od 20mm do 60mm ze skokiem co 2mm. Śruby blokujące do dalszej części gwoździa w kolorze niebieskim o średnicy 4.0mm. </w:t>
            </w:r>
            <w:r w:rsidRPr="005F40D5">
              <w:rPr>
                <w:rFonts w:ascii="Arial Nova" w:eastAsia="Aptos" w:hAnsi="Arial Nova" w:cs="Arial Nova"/>
                <w:color w:val="000000"/>
              </w:rPr>
              <w:lastRenderedPageBreak/>
              <w:t>Gwóźdź dostępny w wersji:</w:t>
            </w:r>
            <w:r w:rsidR="006A71AB">
              <w:rPr>
                <w:rFonts w:ascii="Arial Nova" w:eastAsia="Aptos" w:hAnsi="Arial Nova" w:cs="Arial Nova"/>
                <w:color w:val="000000"/>
              </w:rPr>
              <w:t xml:space="preserve"> </w:t>
            </w:r>
            <w:r w:rsidRPr="005F40D5">
              <w:rPr>
                <w:rFonts w:ascii="Arial Nova" w:eastAsia="Aptos" w:hAnsi="Arial Nova" w:cs="Arial Nova"/>
                <w:color w:val="000000"/>
              </w:rPr>
              <w:t xml:space="preserve">gwóźdź krótki - 160 mm w średnicy 8.0mm , 9.5mm, w wersji prawej i lewej ; Gwoździe i zaślepki zapakowane sterylnie. </w:t>
            </w:r>
          </w:p>
        </w:tc>
        <w:tc>
          <w:tcPr>
            <w:tcW w:w="99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9D4B95E" w14:textId="77777777" w:rsidR="005F40D5" w:rsidRPr="005F40D5" w:rsidRDefault="005F40D5" w:rsidP="005F4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eastAsia="Aptos" w:hAnsi="Arial Nova" w:cs="Arial Nova"/>
                <w:color w:val="000000"/>
              </w:rPr>
            </w:pPr>
            <w:r w:rsidRPr="005F40D5">
              <w:rPr>
                <w:rFonts w:ascii="Arial Nova" w:eastAsia="Aptos" w:hAnsi="Arial Nova" w:cs="Arial Nova"/>
                <w:color w:val="000000"/>
              </w:rPr>
              <w:lastRenderedPageBreak/>
              <w:t>szt.</w:t>
            </w:r>
          </w:p>
        </w:tc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20D836F9" w14:textId="77777777" w:rsidR="005F40D5" w:rsidRPr="005F40D5" w:rsidRDefault="005F40D5" w:rsidP="005F4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eastAsia="Aptos" w:hAnsi="Arial Nova" w:cs="Arial Nova"/>
                <w:color w:val="000000"/>
              </w:rPr>
            </w:pPr>
            <w:r w:rsidRPr="005F40D5">
              <w:rPr>
                <w:rFonts w:ascii="Arial Nova" w:eastAsia="Aptos" w:hAnsi="Arial Nova" w:cs="Arial Nova"/>
                <w:color w:val="000000"/>
              </w:rPr>
              <w:t>5</w:t>
            </w:r>
          </w:p>
        </w:tc>
      </w:tr>
      <w:tr w:rsidR="005F40D5" w:rsidRPr="005F40D5" w14:paraId="35E15A2C" w14:textId="77777777" w:rsidTr="007D3F0F">
        <w:trPr>
          <w:trHeight w:val="2696"/>
        </w:trPr>
        <w:tc>
          <w:tcPr>
            <w:tcW w:w="675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E9EA648" w14:textId="77777777" w:rsidR="005F40D5" w:rsidRPr="005F40D5" w:rsidRDefault="005F40D5" w:rsidP="005F4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eastAsia="Aptos" w:hAnsi="Arial Nova" w:cs="Arial Nova"/>
                <w:color w:val="000000"/>
              </w:rPr>
            </w:pPr>
            <w:r w:rsidRPr="005F40D5">
              <w:rPr>
                <w:rFonts w:ascii="Arial Nova" w:eastAsia="Aptos" w:hAnsi="Arial Nova" w:cs="Arial Nova"/>
                <w:b/>
                <w:bCs/>
                <w:color w:val="000000"/>
              </w:rPr>
              <w:t>71</w:t>
            </w:r>
          </w:p>
        </w:tc>
        <w:tc>
          <w:tcPr>
            <w:tcW w:w="723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75DCD35" w14:textId="11D3E925" w:rsidR="005F40D5" w:rsidRPr="005F40D5" w:rsidRDefault="005F40D5" w:rsidP="005F4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eastAsia="Aptos" w:hAnsi="Arial Nova" w:cs="Arial Nova"/>
                <w:color w:val="000000"/>
              </w:rPr>
            </w:pPr>
            <w:r w:rsidRPr="005F40D5">
              <w:rPr>
                <w:rFonts w:ascii="Arial Nova" w:eastAsia="Aptos" w:hAnsi="Arial Nova" w:cs="Arial Nova"/>
                <w:color w:val="000000"/>
              </w:rPr>
              <w:t xml:space="preserve">Gwóźdź śródszpikowy ramienny, tytanowy, </w:t>
            </w:r>
            <w:proofErr w:type="spellStart"/>
            <w:r w:rsidRPr="005F40D5">
              <w:rPr>
                <w:rFonts w:ascii="Arial Nova" w:eastAsia="Aptos" w:hAnsi="Arial Nova" w:cs="Arial Nova"/>
                <w:color w:val="000000"/>
              </w:rPr>
              <w:t>kaniulowany</w:t>
            </w:r>
            <w:proofErr w:type="spellEnd"/>
            <w:r w:rsidRPr="005F40D5">
              <w:rPr>
                <w:rFonts w:ascii="Arial Nova" w:eastAsia="Aptos" w:hAnsi="Arial Nova" w:cs="Arial Nova"/>
                <w:color w:val="000000"/>
              </w:rPr>
              <w:t xml:space="preserve"> prosty w wersji krótkiej i długiej. Istnieje możliwość wielopłaszczyznowego blokowania w części bliższej i dalszej gwoździa. Specjalnie zaprojektowane śruby do blokowania w części bliższej charakteryzują się: zaokrągloną końcówką a także gwintem </w:t>
            </w:r>
            <w:proofErr w:type="spellStart"/>
            <w:r w:rsidRPr="005F40D5">
              <w:rPr>
                <w:rFonts w:ascii="Arial Nova" w:eastAsia="Aptos" w:hAnsi="Arial Nova" w:cs="Arial Nova"/>
                <w:color w:val="000000"/>
              </w:rPr>
              <w:t>samotnącym</w:t>
            </w:r>
            <w:proofErr w:type="spellEnd"/>
            <w:r w:rsidRPr="005F40D5">
              <w:rPr>
                <w:rFonts w:ascii="Arial Nova" w:eastAsia="Aptos" w:hAnsi="Arial Nova" w:cs="Arial Nova"/>
                <w:color w:val="000000"/>
              </w:rPr>
              <w:t xml:space="preserve"> w głowie śruby ułatwiającym wkręcenie w kość. Głowę śruby wyposażono także w cztery otwory do mocowania szwów i również specjalny otwór do dodatkowej śruby blokowanej o średnicy 3.5mm, wkręcanej w celu uzyskania lepszej stabilizacji złamania głowy kości ramiennej. W części bliższej gwoździa znajdują się otwory do blokowania wypełnione tuleją polietylenową w celu uzyskania pełnej stabilności zespolenia. Otwory rozłożone są także w czterech różnych płaszczyznach. Instrumentarium wyposażono w celownik z możliwością śródoperacyjnego blokowania w części bliższej i dalszej gwoździ krótkich. Gwóźdź występuje w wersji do prawej i lewej ręki. Zaślepka z gniazdem gwiazdkowym w długości od 0mm do 15mm. Śruby blokujące w części bliższej o średnicy 4.5mm w kolorze złotym o długości od 20mm do 60mm ze skokiem co 2mm. Śruby blokujące do dalszej części gwoździa w kolorze niebieskim o średnicy 4.0mm. Gwóźdź dostępny w wersji:</w:t>
            </w:r>
            <w:r w:rsidR="006A71AB">
              <w:rPr>
                <w:rFonts w:ascii="Arial Nova" w:eastAsia="Aptos" w:hAnsi="Arial Nova" w:cs="Arial Nova"/>
                <w:color w:val="000000"/>
              </w:rPr>
              <w:t xml:space="preserve"> </w:t>
            </w:r>
            <w:r w:rsidRPr="005F40D5">
              <w:rPr>
                <w:rFonts w:ascii="Arial Nova" w:eastAsia="Aptos" w:hAnsi="Arial Nova" w:cs="Arial Nova"/>
                <w:color w:val="000000"/>
              </w:rPr>
              <w:t xml:space="preserve">gwóźdź długi - o długości od 180mm do 315mm w średnich 7.0mm i 8.5mm Gwoździe i zaślepki zapakowane sterylnie. </w:t>
            </w:r>
          </w:p>
        </w:tc>
        <w:tc>
          <w:tcPr>
            <w:tcW w:w="99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49634CE" w14:textId="77777777" w:rsidR="005F40D5" w:rsidRPr="005F40D5" w:rsidRDefault="005F40D5" w:rsidP="005F4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eastAsia="Aptos" w:hAnsi="Arial Nova" w:cs="Arial Nova"/>
                <w:color w:val="000000"/>
              </w:rPr>
            </w:pPr>
            <w:r w:rsidRPr="005F40D5">
              <w:rPr>
                <w:rFonts w:ascii="Arial Nova" w:eastAsia="Aptos" w:hAnsi="Arial Nova" w:cs="Arial Nova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174B8C6" w14:textId="77777777" w:rsidR="005F40D5" w:rsidRPr="005F40D5" w:rsidRDefault="005F40D5" w:rsidP="005F4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eastAsia="Aptos" w:hAnsi="Arial Nova" w:cs="Arial Nova"/>
                <w:color w:val="000000"/>
              </w:rPr>
            </w:pPr>
            <w:r w:rsidRPr="005F40D5">
              <w:rPr>
                <w:rFonts w:ascii="Arial Nova" w:eastAsia="Aptos" w:hAnsi="Arial Nova" w:cs="Arial Nova"/>
                <w:color w:val="000000"/>
              </w:rPr>
              <w:t>1</w:t>
            </w:r>
          </w:p>
        </w:tc>
      </w:tr>
      <w:tr w:rsidR="005F40D5" w:rsidRPr="005F40D5" w14:paraId="6D95E4DF" w14:textId="77777777" w:rsidTr="007D3F0F">
        <w:trPr>
          <w:trHeight w:val="391"/>
        </w:trPr>
        <w:tc>
          <w:tcPr>
            <w:tcW w:w="675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14D2673" w14:textId="77777777" w:rsidR="005F40D5" w:rsidRPr="005F40D5" w:rsidRDefault="005F40D5" w:rsidP="005F4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eastAsia="Aptos" w:hAnsi="Arial Nova" w:cs="Arial Nova"/>
                <w:color w:val="000000"/>
              </w:rPr>
            </w:pPr>
            <w:r w:rsidRPr="005F40D5">
              <w:rPr>
                <w:rFonts w:ascii="Arial Nova" w:eastAsia="Aptos" w:hAnsi="Arial Nova" w:cs="Arial Nova"/>
                <w:b/>
                <w:bCs/>
                <w:color w:val="000000"/>
              </w:rPr>
              <w:t>72</w:t>
            </w:r>
          </w:p>
        </w:tc>
        <w:tc>
          <w:tcPr>
            <w:tcW w:w="723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7C8C2CD" w14:textId="77777777" w:rsidR="005F40D5" w:rsidRPr="005F40D5" w:rsidRDefault="005F40D5" w:rsidP="005F4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eastAsia="Aptos" w:hAnsi="Arial Nova" w:cs="Arial Nova"/>
                <w:color w:val="000000"/>
              </w:rPr>
            </w:pPr>
            <w:r w:rsidRPr="005F40D5">
              <w:rPr>
                <w:rFonts w:ascii="Arial Nova" w:eastAsia="Aptos" w:hAnsi="Arial Nova" w:cs="Arial Nova"/>
                <w:color w:val="000000"/>
              </w:rPr>
              <w:t xml:space="preserve">śruba blokująca samogwintująca, z gniazdem gwiazdkowym, średnica 4.0mm w długości : od 18mm do 80mm z przeskokiem, co 2mm.Dostępna również wersja sterylna </w:t>
            </w:r>
          </w:p>
        </w:tc>
        <w:tc>
          <w:tcPr>
            <w:tcW w:w="99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BE5EEB7" w14:textId="77777777" w:rsidR="005F40D5" w:rsidRPr="005F40D5" w:rsidRDefault="005F40D5" w:rsidP="005F4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eastAsia="Aptos" w:hAnsi="Arial Nova" w:cs="Arial Nova"/>
                <w:color w:val="000000"/>
              </w:rPr>
            </w:pPr>
            <w:r w:rsidRPr="005F40D5">
              <w:rPr>
                <w:rFonts w:ascii="Arial Nova" w:eastAsia="Aptos" w:hAnsi="Arial Nova" w:cs="Arial Nova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F03BDD2" w14:textId="77777777" w:rsidR="005F40D5" w:rsidRPr="005F40D5" w:rsidRDefault="005F40D5" w:rsidP="005F4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eastAsia="Aptos" w:hAnsi="Arial Nova" w:cs="Arial Nova"/>
                <w:color w:val="000000"/>
              </w:rPr>
            </w:pPr>
            <w:r w:rsidRPr="005F40D5">
              <w:rPr>
                <w:rFonts w:ascii="Arial Nova" w:eastAsia="Aptos" w:hAnsi="Arial Nova" w:cs="Arial Nova"/>
                <w:color w:val="000000"/>
              </w:rPr>
              <w:t>10</w:t>
            </w:r>
          </w:p>
        </w:tc>
      </w:tr>
      <w:tr w:rsidR="005F40D5" w:rsidRPr="005F40D5" w14:paraId="0BB85F8C" w14:textId="77777777" w:rsidTr="007D3F0F">
        <w:trPr>
          <w:trHeight w:val="247"/>
        </w:trPr>
        <w:tc>
          <w:tcPr>
            <w:tcW w:w="675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A7A3912" w14:textId="77777777" w:rsidR="005F40D5" w:rsidRPr="005F40D5" w:rsidRDefault="005F40D5" w:rsidP="005F4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eastAsia="Aptos" w:hAnsi="Arial Nova" w:cs="Arial Nova"/>
                <w:color w:val="000000"/>
              </w:rPr>
            </w:pPr>
            <w:r w:rsidRPr="005F40D5">
              <w:rPr>
                <w:rFonts w:ascii="Arial Nova" w:eastAsia="Aptos" w:hAnsi="Arial Nova" w:cs="Arial Nova"/>
                <w:b/>
                <w:bCs/>
                <w:color w:val="000000"/>
              </w:rPr>
              <w:t>73</w:t>
            </w:r>
          </w:p>
        </w:tc>
        <w:tc>
          <w:tcPr>
            <w:tcW w:w="723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DEC3D55" w14:textId="77777777" w:rsidR="005F40D5" w:rsidRPr="005F40D5" w:rsidRDefault="005F40D5" w:rsidP="005F4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eastAsia="Aptos" w:hAnsi="Arial Nova" w:cs="Arial Nova"/>
                <w:color w:val="000000"/>
              </w:rPr>
            </w:pPr>
            <w:r w:rsidRPr="005F40D5">
              <w:rPr>
                <w:rFonts w:ascii="Arial Nova" w:eastAsia="Aptos" w:hAnsi="Arial Nova" w:cs="Arial Nova"/>
                <w:color w:val="000000"/>
              </w:rPr>
              <w:t xml:space="preserve">Śruby blokujące w części bliższej o średnicy 4.5mm o długości od 20mm do 60mm ze skokiem co 2mm.Dostępna również wersja sterylna </w:t>
            </w:r>
          </w:p>
        </w:tc>
        <w:tc>
          <w:tcPr>
            <w:tcW w:w="99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AF9BEE4" w14:textId="77777777" w:rsidR="005F40D5" w:rsidRPr="005F40D5" w:rsidRDefault="005F40D5" w:rsidP="005F4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eastAsia="Aptos" w:hAnsi="Arial Nova" w:cs="Arial Nova"/>
                <w:color w:val="000000"/>
              </w:rPr>
            </w:pPr>
            <w:r w:rsidRPr="005F40D5">
              <w:rPr>
                <w:rFonts w:ascii="Arial Nova" w:eastAsia="Aptos" w:hAnsi="Arial Nova" w:cs="Arial Nova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A1D28F0" w14:textId="77777777" w:rsidR="005F40D5" w:rsidRPr="005F40D5" w:rsidRDefault="005F40D5" w:rsidP="005F4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eastAsia="Aptos" w:hAnsi="Arial Nova" w:cs="Arial Nova"/>
                <w:color w:val="000000"/>
              </w:rPr>
            </w:pPr>
            <w:r w:rsidRPr="005F40D5">
              <w:rPr>
                <w:rFonts w:ascii="Arial Nova" w:eastAsia="Aptos" w:hAnsi="Arial Nova" w:cs="Arial Nova"/>
                <w:color w:val="000000"/>
              </w:rPr>
              <w:t>1</w:t>
            </w:r>
          </w:p>
        </w:tc>
      </w:tr>
      <w:tr w:rsidR="005F40D5" w:rsidRPr="005F40D5" w14:paraId="7CEA4158" w14:textId="77777777" w:rsidTr="007D3F0F">
        <w:trPr>
          <w:trHeight w:val="103"/>
        </w:trPr>
        <w:tc>
          <w:tcPr>
            <w:tcW w:w="675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B3647F7" w14:textId="77777777" w:rsidR="005F40D5" w:rsidRPr="005F40D5" w:rsidRDefault="005F40D5" w:rsidP="005F4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eastAsia="Aptos" w:hAnsi="Arial Nova" w:cs="Arial Nova"/>
                <w:color w:val="000000"/>
              </w:rPr>
            </w:pPr>
            <w:r w:rsidRPr="005F40D5">
              <w:rPr>
                <w:rFonts w:ascii="Arial Nova" w:eastAsia="Aptos" w:hAnsi="Arial Nova" w:cs="Arial Nova"/>
                <w:b/>
                <w:bCs/>
                <w:color w:val="000000"/>
              </w:rPr>
              <w:t>74</w:t>
            </w:r>
          </w:p>
        </w:tc>
        <w:tc>
          <w:tcPr>
            <w:tcW w:w="723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C739ADC" w14:textId="77777777" w:rsidR="005F40D5" w:rsidRPr="005F40D5" w:rsidRDefault="005F40D5" w:rsidP="005F4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eastAsia="Aptos" w:hAnsi="Arial Nova" w:cs="Arial Nova"/>
                <w:color w:val="000000"/>
              </w:rPr>
            </w:pPr>
            <w:r w:rsidRPr="005F40D5">
              <w:rPr>
                <w:rFonts w:ascii="Arial Nova" w:eastAsia="Aptos" w:hAnsi="Arial Nova" w:cs="Arial Nova"/>
                <w:color w:val="000000"/>
              </w:rPr>
              <w:t xml:space="preserve">Zaślepka gwoździa o długości od 0mm do 15mm sterylna </w:t>
            </w:r>
          </w:p>
        </w:tc>
        <w:tc>
          <w:tcPr>
            <w:tcW w:w="99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A08B260" w14:textId="77777777" w:rsidR="005F40D5" w:rsidRPr="005F40D5" w:rsidRDefault="005F40D5" w:rsidP="005F4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eastAsia="Aptos" w:hAnsi="Arial Nova" w:cs="Arial Nova"/>
                <w:color w:val="000000"/>
              </w:rPr>
            </w:pPr>
            <w:r w:rsidRPr="005F40D5">
              <w:rPr>
                <w:rFonts w:ascii="Arial Nova" w:eastAsia="Aptos" w:hAnsi="Arial Nova" w:cs="Arial Nova"/>
                <w:color w:val="000000"/>
              </w:rPr>
              <w:t>szt.</w:t>
            </w:r>
          </w:p>
        </w:tc>
        <w:tc>
          <w:tcPr>
            <w:tcW w:w="1134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6AAFFF83" w14:textId="77777777" w:rsidR="005F40D5" w:rsidRPr="005F40D5" w:rsidRDefault="005F40D5" w:rsidP="005F40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ova" w:eastAsia="Aptos" w:hAnsi="Arial Nova" w:cs="Arial Nova"/>
                <w:color w:val="000000"/>
              </w:rPr>
            </w:pPr>
            <w:r w:rsidRPr="005F40D5">
              <w:rPr>
                <w:rFonts w:ascii="Arial Nova" w:eastAsia="Aptos" w:hAnsi="Arial Nova" w:cs="Arial Nova"/>
                <w:color w:val="000000"/>
              </w:rPr>
              <w:t>6</w:t>
            </w:r>
          </w:p>
        </w:tc>
      </w:tr>
    </w:tbl>
    <w:p w14:paraId="61A5156B" w14:textId="77777777" w:rsidR="005F40D5" w:rsidRDefault="005F40D5" w:rsidP="005C702E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sz w:val="24"/>
          <w:szCs w:val="24"/>
        </w:rPr>
      </w:pPr>
    </w:p>
    <w:p w14:paraId="1A5C1B00" w14:textId="5A848D30" w:rsidR="005C702E" w:rsidRPr="006A71AB" w:rsidRDefault="005C702E" w:rsidP="005C70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6927A2">
        <w:rPr>
          <w:rFonts w:ascii="Times New Roman" w:hAnsi="Times New Roman" w:cs="Times New Roman"/>
          <w:b/>
          <w:bCs/>
        </w:rPr>
        <w:t>Odpowiedź Zamawiającego</w:t>
      </w:r>
      <w:r w:rsidRPr="006A71AB">
        <w:rPr>
          <w:rFonts w:ascii="Times New Roman" w:hAnsi="Times New Roman" w:cs="Times New Roman"/>
          <w:b/>
          <w:bCs/>
        </w:rPr>
        <w:t>: NIE. Zamawiający podtrzymuje zapisy SWZ.</w:t>
      </w:r>
    </w:p>
    <w:p w14:paraId="6662CA85" w14:textId="77777777" w:rsidR="005F40D5" w:rsidRPr="005C702E" w:rsidRDefault="005F40D5" w:rsidP="005C702E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14:paraId="1A4AFF5C" w14:textId="77777777" w:rsidR="00DB04B9" w:rsidRPr="007B3C37" w:rsidRDefault="00DB04B9" w:rsidP="00DB04B9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7B3C37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4A3321B2" w14:textId="77777777" w:rsidR="00DB04B9" w:rsidRPr="00A13D81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A13D81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A13D81">
        <w:rPr>
          <w:rFonts w:ascii="Times New Roman" w:hAnsi="Times New Roman" w:cs="Times New Roman"/>
          <w:sz w:val="24"/>
          <w:szCs w:val="24"/>
        </w:rPr>
        <w:t>.</w:t>
      </w:r>
    </w:p>
    <w:p w14:paraId="26A08920" w14:textId="77777777" w:rsidR="00DB04B9" w:rsidRPr="00A13D81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B953D5" w14:textId="695C53C0" w:rsidR="00DB04B9" w:rsidRPr="006A71AB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71AB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AD1055" w:rsidRPr="006A71AB">
        <w:rPr>
          <w:rFonts w:ascii="Times New Roman" w:hAnsi="Times New Roman" w:cs="Times New Roman"/>
          <w:sz w:val="24"/>
          <w:szCs w:val="24"/>
        </w:rPr>
        <w:t>2</w:t>
      </w:r>
      <w:r w:rsidR="005F40D5" w:rsidRPr="006A71AB">
        <w:rPr>
          <w:rFonts w:ascii="Times New Roman" w:hAnsi="Times New Roman" w:cs="Times New Roman"/>
          <w:sz w:val="24"/>
          <w:szCs w:val="24"/>
        </w:rPr>
        <w:t>6</w:t>
      </w:r>
      <w:r w:rsidR="00AD1055" w:rsidRPr="006A71AB">
        <w:rPr>
          <w:rFonts w:ascii="Times New Roman" w:hAnsi="Times New Roman" w:cs="Times New Roman"/>
          <w:sz w:val="24"/>
          <w:szCs w:val="24"/>
        </w:rPr>
        <w:t>.11.2025</w:t>
      </w:r>
      <w:r w:rsidRPr="006A71AB">
        <w:rPr>
          <w:rFonts w:ascii="Times New Roman" w:hAnsi="Times New Roman" w:cs="Times New Roman"/>
          <w:sz w:val="24"/>
          <w:szCs w:val="24"/>
        </w:rPr>
        <w:t>r.</w:t>
      </w:r>
    </w:p>
    <w:p w14:paraId="1BD20FF6" w14:textId="77777777" w:rsidR="00DB04B9" w:rsidRPr="00A13D81" w:rsidRDefault="00DB04B9" w:rsidP="00DB04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BB1453" w14:textId="77777777" w:rsidR="00DB04B9" w:rsidRPr="00A13D81" w:rsidRDefault="00DB04B9" w:rsidP="00DB04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7807AAB0" w14:textId="77777777" w:rsidR="00DB04B9" w:rsidRPr="00A13D81" w:rsidRDefault="00DB04B9" w:rsidP="00DB04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ZBIGNIEW STRZELCZYK</w:t>
      </w:r>
    </w:p>
    <w:p w14:paraId="592C096A" w14:textId="77777777" w:rsidR="00DB04B9" w:rsidRPr="00A13D81" w:rsidRDefault="00DB04B9" w:rsidP="00DB04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10490D49" w14:textId="570C5C09" w:rsidR="00DB04B9" w:rsidRPr="006A71AB" w:rsidRDefault="00DB04B9" w:rsidP="006A71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50FD7DBE" w14:textId="77777777" w:rsidR="00BC20D3" w:rsidRDefault="00BC20D3"/>
    <w:sectPr w:rsidR="00BC20D3" w:rsidSect="00472A2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raeger Pangea Tex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ova">
    <w:altName w:val="Arial Nova"/>
    <w:panose1 w:val="020B0504020202020204"/>
    <w:charset w:val="EE"/>
    <w:family w:val="swiss"/>
    <w:pitch w:val="variable"/>
    <w:sig w:usb0="2000028F" w:usb1="00000002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D049FB"/>
    <w:multiLevelType w:val="hybridMultilevel"/>
    <w:tmpl w:val="939EBE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4339DF"/>
    <w:multiLevelType w:val="hybridMultilevel"/>
    <w:tmpl w:val="F96AF4B4"/>
    <w:lvl w:ilvl="0" w:tplc="A4FCF072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4FE6720C"/>
    <w:multiLevelType w:val="hybridMultilevel"/>
    <w:tmpl w:val="8EE6A3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071CE2"/>
    <w:multiLevelType w:val="hybridMultilevel"/>
    <w:tmpl w:val="56C2A8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3019A9"/>
    <w:multiLevelType w:val="hybridMultilevel"/>
    <w:tmpl w:val="CB144F3A"/>
    <w:lvl w:ilvl="0" w:tplc="D124D8D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676136BC"/>
    <w:multiLevelType w:val="hybridMultilevel"/>
    <w:tmpl w:val="5C0EE2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F54B52"/>
    <w:multiLevelType w:val="hybridMultilevel"/>
    <w:tmpl w:val="B2B8A9AE"/>
    <w:lvl w:ilvl="0" w:tplc="F37C70C8">
      <w:start w:val="8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1158851">
    <w:abstractNumId w:val="1"/>
  </w:num>
  <w:num w:numId="2" w16cid:durableId="1678650089">
    <w:abstractNumId w:val="4"/>
  </w:num>
  <w:num w:numId="3" w16cid:durableId="216669681">
    <w:abstractNumId w:val="2"/>
  </w:num>
  <w:num w:numId="4" w16cid:durableId="1275595458">
    <w:abstractNumId w:val="6"/>
  </w:num>
  <w:num w:numId="5" w16cid:durableId="24185954">
    <w:abstractNumId w:val="3"/>
  </w:num>
  <w:num w:numId="6" w16cid:durableId="2027709944">
    <w:abstractNumId w:val="0"/>
  </w:num>
  <w:num w:numId="7" w16cid:durableId="15845358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04B9"/>
    <w:rsid w:val="000E33A5"/>
    <w:rsid w:val="00137938"/>
    <w:rsid w:val="002C54A8"/>
    <w:rsid w:val="00362D3C"/>
    <w:rsid w:val="00440BD1"/>
    <w:rsid w:val="00472A28"/>
    <w:rsid w:val="00475681"/>
    <w:rsid w:val="00594876"/>
    <w:rsid w:val="005A2510"/>
    <w:rsid w:val="005B33A4"/>
    <w:rsid w:val="005C702E"/>
    <w:rsid w:val="005E5F73"/>
    <w:rsid w:val="005E6E6F"/>
    <w:rsid w:val="005F40D5"/>
    <w:rsid w:val="00674130"/>
    <w:rsid w:val="00683551"/>
    <w:rsid w:val="006927A2"/>
    <w:rsid w:val="006A71AB"/>
    <w:rsid w:val="006D6FC0"/>
    <w:rsid w:val="00710DE8"/>
    <w:rsid w:val="00746F88"/>
    <w:rsid w:val="00852159"/>
    <w:rsid w:val="008C5A58"/>
    <w:rsid w:val="008D1F47"/>
    <w:rsid w:val="00987637"/>
    <w:rsid w:val="009E74AD"/>
    <w:rsid w:val="009F17F3"/>
    <w:rsid w:val="00A61414"/>
    <w:rsid w:val="00A63D55"/>
    <w:rsid w:val="00AD1055"/>
    <w:rsid w:val="00BC20D3"/>
    <w:rsid w:val="00BF1782"/>
    <w:rsid w:val="00C66177"/>
    <w:rsid w:val="00D463B7"/>
    <w:rsid w:val="00DB04B9"/>
    <w:rsid w:val="00DB1236"/>
    <w:rsid w:val="00DC1836"/>
    <w:rsid w:val="00EC704B"/>
    <w:rsid w:val="00ED68D8"/>
    <w:rsid w:val="00F15C57"/>
    <w:rsid w:val="00F412E6"/>
    <w:rsid w:val="00F76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44FE7"/>
  <w15:docId w15:val="{B7AE5C46-F389-4560-938A-8714C0BDA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04B9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B04B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DB04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3</Pages>
  <Words>1044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22</cp:revision>
  <cp:lastPrinted>2025-11-26T09:06:00Z</cp:lastPrinted>
  <dcterms:created xsi:type="dcterms:W3CDTF">2023-09-08T07:34:00Z</dcterms:created>
  <dcterms:modified xsi:type="dcterms:W3CDTF">2025-11-26T09:07:00Z</dcterms:modified>
</cp:coreProperties>
</file>